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9123A" w14:textId="185BCEC9" w:rsidR="00BD7639" w:rsidRDefault="00F549E9">
      <w:pPr>
        <w:rPr>
          <w:lang w:val="en-US"/>
        </w:rPr>
      </w:pPr>
      <w:r>
        <w:rPr>
          <w:noProof/>
          <w:lang w:val="en-US"/>
        </w:rPr>
        <w:drawing>
          <wp:anchor distT="0" distB="0" distL="114300" distR="114300" simplePos="0" relativeHeight="251658240" behindDoc="1" locked="0" layoutInCell="1" allowOverlap="1" wp14:anchorId="1518C618" wp14:editId="2DEC7304">
            <wp:simplePos x="0" y="0"/>
            <wp:positionH relativeFrom="margin">
              <wp:posOffset>-908576</wp:posOffset>
            </wp:positionH>
            <wp:positionV relativeFrom="paragraph">
              <wp:posOffset>-912495</wp:posOffset>
            </wp:positionV>
            <wp:extent cx="7641517" cy="10799379"/>
            <wp:effectExtent l="0" t="0" r="0" b="2540"/>
            <wp:wrapNone/>
            <wp:docPr id="207133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3266" name="Picture 207133266"/>
                    <pic:cNvPicPr/>
                  </pic:nvPicPr>
                  <pic:blipFill>
                    <a:blip r:embed="rId7">
                      <a:extLst>
                        <a:ext uri="{28A0092B-C50C-407E-A947-70E740481C1C}">
                          <a14:useLocalDpi xmlns:a14="http://schemas.microsoft.com/office/drawing/2010/main" val="0"/>
                        </a:ext>
                      </a:extLst>
                    </a:blip>
                    <a:stretch>
                      <a:fillRect/>
                    </a:stretch>
                  </pic:blipFill>
                  <pic:spPr>
                    <a:xfrm>
                      <a:off x="0" y="0"/>
                      <a:ext cx="7641517" cy="10799379"/>
                    </a:xfrm>
                    <a:prstGeom prst="rect">
                      <a:avLst/>
                    </a:prstGeom>
                  </pic:spPr>
                </pic:pic>
              </a:graphicData>
            </a:graphic>
            <wp14:sizeRelH relativeFrom="page">
              <wp14:pctWidth>0</wp14:pctWidth>
            </wp14:sizeRelH>
            <wp14:sizeRelV relativeFrom="page">
              <wp14:pctHeight>0</wp14:pctHeight>
            </wp14:sizeRelV>
          </wp:anchor>
        </w:drawing>
      </w:r>
    </w:p>
    <w:p w14:paraId="72ADA160" w14:textId="6066611C" w:rsidR="00BD7639" w:rsidRDefault="00BD7639" w:rsidP="00BD7639">
      <w:pPr>
        <w:rPr>
          <w:lang w:val="en-US"/>
        </w:rPr>
      </w:pPr>
    </w:p>
    <w:p w14:paraId="1F36508C" w14:textId="77777777" w:rsidR="00BD7639" w:rsidRDefault="00BD7639" w:rsidP="00BD7639">
      <w:pPr>
        <w:rPr>
          <w:lang w:val="en-US"/>
        </w:rPr>
      </w:pPr>
    </w:p>
    <w:p w14:paraId="4CC6426D" w14:textId="77777777" w:rsidR="00BD7639" w:rsidRDefault="00BD7639" w:rsidP="00BD7639">
      <w:pPr>
        <w:rPr>
          <w:lang w:val="en-US"/>
        </w:rPr>
      </w:pPr>
    </w:p>
    <w:p w14:paraId="2BEAB852" w14:textId="77777777" w:rsidR="00BD7639" w:rsidRDefault="00BD7639" w:rsidP="00BD7639">
      <w:pPr>
        <w:rPr>
          <w:lang w:val="en-US"/>
        </w:rPr>
      </w:pPr>
    </w:p>
    <w:p w14:paraId="3A02F386" w14:textId="77777777" w:rsidR="00BD7639" w:rsidRDefault="00BD7639" w:rsidP="00BD7639">
      <w:pPr>
        <w:rPr>
          <w:lang w:val="en-US"/>
        </w:rPr>
      </w:pPr>
    </w:p>
    <w:p w14:paraId="618770F3" w14:textId="77777777" w:rsidR="00BD7639" w:rsidRDefault="00BD7639" w:rsidP="00BD7639">
      <w:pPr>
        <w:rPr>
          <w:lang w:val="en-US"/>
        </w:rPr>
      </w:pPr>
    </w:p>
    <w:p w14:paraId="70ED0857" w14:textId="77777777" w:rsidR="00BD7639" w:rsidRDefault="00BD7639" w:rsidP="00BD7639">
      <w:pPr>
        <w:rPr>
          <w:lang w:val="en-US"/>
        </w:rPr>
      </w:pPr>
    </w:p>
    <w:p w14:paraId="6DAA959B" w14:textId="77777777" w:rsidR="00BD7639" w:rsidRDefault="00BD7639" w:rsidP="00BD7639">
      <w:pPr>
        <w:rPr>
          <w:lang w:val="en-US"/>
        </w:rPr>
      </w:pPr>
    </w:p>
    <w:p w14:paraId="0A7FC8D3" w14:textId="77777777" w:rsidR="00BD7639" w:rsidRDefault="00BD7639" w:rsidP="00BD7639">
      <w:pPr>
        <w:rPr>
          <w:lang w:val="en-US"/>
        </w:rPr>
      </w:pPr>
    </w:p>
    <w:p w14:paraId="5CCC24B8" w14:textId="77777777" w:rsidR="00BD7639" w:rsidRDefault="00BD7639" w:rsidP="00BD7639">
      <w:pPr>
        <w:rPr>
          <w:lang w:val="en-US"/>
        </w:rPr>
      </w:pPr>
    </w:p>
    <w:p w14:paraId="673EF0CE" w14:textId="77777777" w:rsidR="00BD7639" w:rsidRDefault="00BD7639" w:rsidP="00BD7639">
      <w:pPr>
        <w:rPr>
          <w:lang w:val="en-US"/>
        </w:rPr>
      </w:pPr>
    </w:p>
    <w:p w14:paraId="1270FE4D" w14:textId="77777777" w:rsidR="00BD7639" w:rsidRDefault="00BD7639" w:rsidP="00BD7639">
      <w:pPr>
        <w:rPr>
          <w:lang w:val="en-US"/>
        </w:rPr>
      </w:pPr>
    </w:p>
    <w:p w14:paraId="7DD3466C" w14:textId="77777777" w:rsidR="00BD7639" w:rsidRPr="00BD7639" w:rsidRDefault="00BD7639" w:rsidP="00BD7639">
      <w:pPr>
        <w:rPr>
          <w:lang w:val="en-US"/>
        </w:rPr>
      </w:pPr>
    </w:p>
    <w:p w14:paraId="16AF9C30" w14:textId="77777777" w:rsidR="00BD7639" w:rsidRDefault="00BD7639">
      <w:pPr>
        <w:rPr>
          <w:lang w:val="en-US"/>
        </w:rPr>
      </w:pPr>
    </w:p>
    <w:p w14:paraId="3CB5D691" w14:textId="77777777" w:rsidR="00BD7639" w:rsidRDefault="00BD7639">
      <w:pPr>
        <w:rPr>
          <w:lang w:val="en-US"/>
        </w:rPr>
      </w:pPr>
    </w:p>
    <w:p w14:paraId="2CF932C5" w14:textId="77777777" w:rsidR="00BD7639" w:rsidRDefault="00BD7639">
      <w:pPr>
        <w:rPr>
          <w:lang w:val="en-US"/>
        </w:rPr>
      </w:pPr>
    </w:p>
    <w:p w14:paraId="6B0F0C4B" w14:textId="77777777" w:rsidR="00BD7639" w:rsidRDefault="00BD7639">
      <w:pPr>
        <w:rPr>
          <w:lang w:val="en-US"/>
        </w:rPr>
      </w:pPr>
    </w:p>
    <w:p w14:paraId="2B0E1DDF" w14:textId="77777777" w:rsidR="00BD7639" w:rsidRDefault="00BD7639">
      <w:pPr>
        <w:rPr>
          <w:lang w:val="en-US"/>
        </w:rPr>
      </w:pPr>
    </w:p>
    <w:p w14:paraId="318FC40A" w14:textId="77777777" w:rsidR="00BD7639" w:rsidRDefault="00BD7639">
      <w:pPr>
        <w:rPr>
          <w:lang w:val="en-US"/>
        </w:rPr>
      </w:pPr>
    </w:p>
    <w:p w14:paraId="5651B878" w14:textId="77777777" w:rsidR="00BD7639" w:rsidRDefault="00BD7639">
      <w:pPr>
        <w:rPr>
          <w:lang w:val="en-US"/>
        </w:rPr>
      </w:pPr>
    </w:p>
    <w:p w14:paraId="6E463218" w14:textId="77777777" w:rsidR="00BD7639" w:rsidRDefault="00BD7639">
      <w:pPr>
        <w:rPr>
          <w:lang w:val="en-US"/>
        </w:rPr>
      </w:pPr>
    </w:p>
    <w:p w14:paraId="1AC38105" w14:textId="77777777" w:rsidR="00BD7639" w:rsidRDefault="00BD7639">
      <w:pPr>
        <w:rPr>
          <w:lang w:val="en-US"/>
        </w:rPr>
      </w:pPr>
    </w:p>
    <w:p w14:paraId="0AEECF33" w14:textId="77777777" w:rsidR="00BD7639" w:rsidRDefault="00BD7639">
      <w:pPr>
        <w:rPr>
          <w:lang w:val="en-US"/>
        </w:rPr>
      </w:pPr>
    </w:p>
    <w:p w14:paraId="4DD6FFE3" w14:textId="77777777" w:rsidR="00BD7639" w:rsidRDefault="00BD7639">
      <w:pPr>
        <w:rPr>
          <w:lang w:val="en-US"/>
        </w:rPr>
      </w:pPr>
    </w:p>
    <w:p w14:paraId="07C2CEEB" w14:textId="77777777" w:rsidR="00BD7639" w:rsidRDefault="00BD7639">
      <w:pPr>
        <w:rPr>
          <w:lang w:val="en-US"/>
        </w:rPr>
      </w:pPr>
    </w:p>
    <w:p w14:paraId="3583292F" w14:textId="77777777" w:rsidR="00BD7639" w:rsidRDefault="00BD7639">
      <w:pPr>
        <w:rPr>
          <w:lang w:val="en-US"/>
        </w:rPr>
      </w:pPr>
    </w:p>
    <w:p w14:paraId="5511CCB9" w14:textId="77777777" w:rsidR="00BD7639" w:rsidRDefault="00BD7639">
      <w:pPr>
        <w:rPr>
          <w:lang w:val="en-US"/>
        </w:rPr>
      </w:pPr>
    </w:p>
    <w:p w14:paraId="2238C544" w14:textId="77777777" w:rsidR="00BD7639" w:rsidRDefault="00BD7639">
      <w:pPr>
        <w:rPr>
          <w:lang w:val="en-US"/>
        </w:rPr>
      </w:pPr>
    </w:p>
    <w:p w14:paraId="1C79894A" w14:textId="77777777" w:rsidR="00BD7639" w:rsidRDefault="00BD7639">
      <w:pPr>
        <w:rPr>
          <w:lang w:val="en-US"/>
        </w:rPr>
      </w:pPr>
    </w:p>
    <w:p w14:paraId="48EA7B78" w14:textId="77777777" w:rsidR="00BD7639" w:rsidRDefault="00BD7639">
      <w:pPr>
        <w:rPr>
          <w:lang w:val="en-US"/>
        </w:rPr>
      </w:pPr>
    </w:p>
    <w:p w14:paraId="2DDAC557" w14:textId="77777777" w:rsidR="00BD7639" w:rsidRDefault="00BD7639">
      <w:pPr>
        <w:rPr>
          <w:lang w:val="en-US"/>
        </w:rPr>
      </w:pPr>
    </w:p>
    <w:p w14:paraId="45D2801C" w14:textId="77777777" w:rsidR="00BD7639" w:rsidRDefault="00BD7639">
      <w:pPr>
        <w:rPr>
          <w:lang w:val="en-US"/>
        </w:rPr>
      </w:pPr>
    </w:p>
    <w:p w14:paraId="32FB1EB2" w14:textId="77777777" w:rsidR="00BD7639" w:rsidRDefault="00BD7639">
      <w:pPr>
        <w:rPr>
          <w:lang w:val="en-US"/>
        </w:rPr>
      </w:pPr>
    </w:p>
    <w:p w14:paraId="207D52E8" w14:textId="77777777" w:rsidR="00BD7639" w:rsidRDefault="00BD7639">
      <w:pPr>
        <w:rPr>
          <w:lang w:val="en-US"/>
        </w:rPr>
      </w:pPr>
    </w:p>
    <w:p w14:paraId="3DF2F649" w14:textId="77777777" w:rsidR="00BD7639" w:rsidRDefault="00BD7639">
      <w:pPr>
        <w:rPr>
          <w:lang w:val="en-US"/>
        </w:rPr>
      </w:pPr>
    </w:p>
    <w:p w14:paraId="07E87C6E" w14:textId="77777777" w:rsidR="00BD7639" w:rsidRDefault="00BD7639">
      <w:pPr>
        <w:rPr>
          <w:lang w:val="en-US"/>
        </w:rPr>
      </w:pPr>
    </w:p>
    <w:p w14:paraId="24F83E2F" w14:textId="77777777" w:rsidR="00BD7639" w:rsidRDefault="00BD7639">
      <w:pPr>
        <w:rPr>
          <w:lang w:val="en-US"/>
        </w:rPr>
      </w:pPr>
    </w:p>
    <w:p w14:paraId="6FD45403" w14:textId="77777777" w:rsidR="00BD7639" w:rsidRDefault="00BD7639">
      <w:pPr>
        <w:rPr>
          <w:lang w:val="en-US"/>
        </w:rPr>
      </w:pPr>
    </w:p>
    <w:p w14:paraId="25C77809" w14:textId="77777777" w:rsidR="00BD7639" w:rsidRDefault="00BD7639">
      <w:pPr>
        <w:rPr>
          <w:lang w:val="en-US"/>
        </w:rPr>
      </w:pPr>
    </w:p>
    <w:p w14:paraId="7C9F89C4" w14:textId="77777777" w:rsidR="00BD7639" w:rsidRDefault="00BD7639">
      <w:pPr>
        <w:rPr>
          <w:lang w:val="en-US"/>
        </w:rPr>
      </w:pPr>
    </w:p>
    <w:p w14:paraId="1DDFA610" w14:textId="77777777" w:rsidR="00BD7639" w:rsidRDefault="00BD7639">
      <w:pPr>
        <w:rPr>
          <w:lang w:val="en-US"/>
        </w:rPr>
      </w:pPr>
    </w:p>
    <w:p w14:paraId="1B629D2F" w14:textId="77777777" w:rsidR="00BD7639" w:rsidRDefault="00BD7639">
      <w:pPr>
        <w:rPr>
          <w:lang w:val="en-US"/>
        </w:rPr>
      </w:pPr>
    </w:p>
    <w:p w14:paraId="532B4320" w14:textId="77777777" w:rsidR="00BD7639" w:rsidRDefault="00BD7639">
      <w:pPr>
        <w:rPr>
          <w:lang w:val="en-US"/>
        </w:rPr>
      </w:pPr>
    </w:p>
    <w:p w14:paraId="48072354" w14:textId="77777777" w:rsidR="00BD7639" w:rsidRDefault="00BD7639">
      <w:pPr>
        <w:rPr>
          <w:lang w:val="en-US"/>
        </w:rPr>
      </w:pPr>
    </w:p>
    <w:p w14:paraId="274A582D" w14:textId="77777777" w:rsidR="00BD7639" w:rsidRDefault="00BD7639">
      <w:pPr>
        <w:rPr>
          <w:lang w:val="en-US"/>
        </w:rPr>
      </w:pPr>
    </w:p>
    <w:p w14:paraId="7F499E41" w14:textId="77777777" w:rsidR="00BD7639" w:rsidRDefault="00BD7639">
      <w:pPr>
        <w:rPr>
          <w:lang w:val="en-US"/>
        </w:rPr>
      </w:pPr>
    </w:p>
    <w:p w14:paraId="7D774B89" w14:textId="77777777" w:rsidR="00BD7639" w:rsidRDefault="00BD7639">
      <w:pPr>
        <w:rPr>
          <w:lang w:val="en-US"/>
        </w:rPr>
      </w:pPr>
    </w:p>
    <w:p w14:paraId="2D5DD361" w14:textId="77777777" w:rsidR="00BD7639" w:rsidRDefault="00BD7639">
      <w:pPr>
        <w:rPr>
          <w:lang w:val="en-US"/>
        </w:rPr>
      </w:pPr>
    </w:p>
    <w:p w14:paraId="2F05AF96" w14:textId="77777777" w:rsidR="00BD7639" w:rsidRDefault="00BD7639">
      <w:pPr>
        <w:rPr>
          <w:lang w:val="en-US"/>
        </w:rPr>
      </w:pPr>
    </w:p>
    <w:p w14:paraId="169180AD" w14:textId="77777777" w:rsidR="00BD7639" w:rsidRPr="00BD7639" w:rsidRDefault="00BD7639">
      <w:pPr>
        <w:rPr>
          <w:lang w:val="en-US"/>
        </w:rPr>
      </w:pPr>
    </w:p>
    <w:p w14:paraId="68DFE125" w14:textId="77777777" w:rsidR="00A17E96" w:rsidRDefault="00000000">
      <w:pPr>
        <w:pStyle w:val="Heading1"/>
        <w:spacing w:before="0"/>
      </w:pPr>
      <w:bookmarkStart w:id="0" w:name="_Toc229554755"/>
      <w:r>
        <w:lastRenderedPageBreak/>
        <w:t>Table of Contents</w:t>
      </w:r>
      <w:bookmarkEnd w:id="0"/>
    </w:p>
    <w:sdt>
      <w:sdtPr>
        <w:rPr>
          <w:sz w:val="24"/>
          <w:szCs w:val="24"/>
        </w:rPr>
        <w:alias w:val="Table of Contents"/>
        <w:id w:val="1867404801"/>
      </w:sdtPr>
      <w:sdtContent>
        <w:p w14:paraId="0594CF45" w14:textId="02FEEF4F" w:rsidR="003F4F61" w:rsidRPr="003F4F61" w:rsidRDefault="00000000">
          <w:pPr>
            <w:pStyle w:val="TOC1"/>
            <w:tabs>
              <w:tab w:val="right" w:leader="dot" w:pos="9016"/>
            </w:tabs>
            <w:rPr>
              <w:rFonts w:asciiTheme="minorHAnsi" w:eastAsiaTheme="minorEastAsia" w:hAnsiTheme="minorHAnsi" w:cstheme="minorBidi"/>
              <w:noProof/>
              <w:kern w:val="2"/>
              <w:sz w:val="28"/>
              <w:szCs w:val="28"/>
              <w14:ligatures w14:val="standardContextual"/>
            </w:rPr>
          </w:pPr>
          <w:r w:rsidRPr="003F4F61">
            <w:rPr>
              <w:sz w:val="24"/>
              <w:szCs w:val="24"/>
            </w:rPr>
            <w:fldChar w:fldCharType="begin"/>
          </w:r>
          <w:r w:rsidRPr="003F4F61">
            <w:rPr>
              <w:sz w:val="24"/>
              <w:szCs w:val="24"/>
            </w:rPr>
            <w:instrText>TOC \h \o "1-2"</w:instrText>
          </w:r>
          <w:r w:rsidRPr="003F4F61">
            <w:rPr>
              <w:sz w:val="24"/>
              <w:szCs w:val="24"/>
            </w:rPr>
            <w:fldChar w:fldCharType="separate"/>
          </w:r>
          <w:hyperlink w:anchor="_Toc229554755" w:history="1">
            <w:r w:rsidR="003F4F61" w:rsidRPr="003F4F61">
              <w:rPr>
                <w:rStyle w:val="Hyperlink"/>
                <w:noProof/>
                <w:sz w:val="24"/>
                <w:szCs w:val="24"/>
              </w:rPr>
              <w:t>Table of Contents</w:t>
            </w:r>
            <w:r w:rsidR="003F4F61" w:rsidRPr="003F4F61">
              <w:rPr>
                <w:noProof/>
                <w:sz w:val="24"/>
                <w:szCs w:val="24"/>
              </w:rPr>
              <w:tab/>
            </w:r>
            <w:r w:rsidR="003F4F61" w:rsidRPr="003F4F61">
              <w:rPr>
                <w:noProof/>
                <w:sz w:val="24"/>
                <w:szCs w:val="24"/>
              </w:rPr>
              <w:fldChar w:fldCharType="begin"/>
            </w:r>
            <w:r w:rsidR="003F4F61" w:rsidRPr="003F4F61">
              <w:rPr>
                <w:noProof/>
                <w:sz w:val="24"/>
                <w:szCs w:val="24"/>
              </w:rPr>
              <w:instrText xml:space="preserve"> PAGEREF _Toc229554755 \h </w:instrText>
            </w:r>
            <w:r w:rsidR="003F4F61" w:rsidRPr="003F4F61">
              <w:rPr>
                <w:noProof/>
                <w:sz w:val="24"/>
                <w:szCs w:val="24"/>
              </w:rPr>
            </w:r>
            <w:r w:rsidR="003F4F61" w:rsidRPr="003F4F61">
              <w:rPr>
                <w:noProof/>
                <w:sz w:val="24"/>
                <w:szCs w:val="24"/>
              </w:rPr>
              <w:fldChar w:fldCharType="separate"/>
            </w:r>
            <w:r w:rsidR="003F4F61" w:rsidRPr="003F4F61">
              <w:rPr>
                <w:noProof/>
                <w:sz w:val="24"/>
                <w:szCs w:val="24"/>
              </w:rPr>
              <w:t>2</w:t>
            </w:r>
            <w:r w:rsidR="003F4F61" w:rsidRPr="003F4F61">
              <w:rPr>
                <w:noProof/>
                <w:sz w:val="24"/>
                <w:szCs w:val="24"/>
              </w:rPr>
              <w:fldChar w:fldCharType="end"/>
            </w:r>
          </w:hyperlink>
        </w:p>
        <w:p w14:paraId="38E04868" w14:textId="7B525F48" w:rsidR="003F4F61" w:rsidRPr="003F4F61" w:rsidRDefault="003F4F61">
          <w:pPr>
            <w:pStyle w:val="TOC1"/>
            <w:tabs>
              <w:tab w:val="right" w:leader="dot" w:pos="9016"/>
            </w:tabs>
            <w:rPr>
              <w:rFonts w:asciiTheme="minorHAnsi" w:eastAsiaTheme="minorEastAsia" w:hAnsiTheme="minorHAnsi" w:cstheme="minorBidi"/>
              <w:noProof/>
              <w:kern w:val="2"/>
              <w:sz w:val="28"/>
              <w:szCs w:val="28"/>
              <w14:ligatures w14:val="standardContextual"/>
            </w:rPr>
          </w:pPr>
          <w:hyperlink w:anchor="_Toc229554756" w:history="1">
            <w:r w:rsidRPr="003F4F61">
              <w:rPr>
                <w:rStyle w:val="Hyperlink"/>
                <w:noProof/>
                <w:sz w:val="24"/>
                <w:szCs w:val="24"/>
              </w:rPr>
              <w:t>1. Executive Summary</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_Toc229554756 \h </w:instrText>
            </w:r>
            <w:r w:rsidRPr="003F4F61">
              <w:rPr>
                <w:noProof/>
                <w:sz w:val="24"/>
                <w:szCs w:val="24"/>
              </w:rPr>
            </w:r>
            <w:r w:rsidRPr="003F4F61">
              <w:rPr>
                <w:noProof/>
                <w:sz w:val="24"/>
                <w:szCs w:val="24"/>
              </w:rPr>
              <w:fldChar w:fldCharType="separate"/>
            </w:r>
            <w:r w:rsidRPr="003F4F61">
              <w:rPr>
                <w:noProof/>
                <w:sz w:val="24"/>
                <w:szCs w:val="24"/>
              </w:rPr>
              <w:t>3</w:t>
            </w:r>
            <w:r w:rsidRPr="003F4F61">
              <w:rPr>
                <w:noProof/>
                <w:sz w:val="24"/>
                <w:szCs w:val="24"/>
              </w:rPr>
              <w:fldChar w:fldCharType="end"/>
            </w:r>
          </w:hyperlink>
        </w:p>
        <w:p w14:paraId="0F469C6B" w14:textId="00C0AA32" w:rsidR="003F4F61" w:rsidRPr="003F4F61" w:rsidRDefault="003F4F61">
          <w:pPr>
            <w:pStyle w:val="TOC1"/>
            <w:tabs>
              <w:tab w:val="right" w:leader="dot" w:pos="9016"/>
            </w:tabs>
            <w:rPr>
              <w:rFonts w:asciiTheme="minorHAnsi" w:eastAsiaTheme="minorEastAsia" w:hAnsiTheme="minorHAnsi" w:cstheme="minorBidi"/>
              <w:noProof/>
              <w:kern w:val="2"/>
              <w:sz w:val="28"/>
              <w:szCs w:val="28"/>
              <w14:ligatures w14:val="standardContextual"/>
            </w:rPr>
          </w:pPr>
          <w:hyperlink w:anchor="_Toc229554757" w:history="1">
            <w:r w:rsidRPr="003F4F61">
              <w:rPr>
                <w:rStyle w:val="Hyperlink"/>
                <w:noProof/>
                <w:sz w:val="24"/>
                <w:szCs w:val="24"/>
              </w:rPr>
              <w:t>2. Feature Comparison Matrix</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_Toc229554757 \h </w:instrText>
            </w:r>
            <w:r w:rsidRPr="003F4F61">
              <w:rPr>
                <w:noProof/>
                <w:sz w:val="24"/>
                <w:szCs w:val="24"/>
              </w:rPr>
            </w:r>
            <w:r w:rsidRPr="003F4F61">
              <w:rPr>
                <w:noProof/>
                <w:sz w:val="24"/>
                <w:szCs w:val="24"/>
              </w:rPr>
              <w:fldChar w:fldCharType="separate"/>
            </w:r>
            <w:r w:rsidRPr="003F4F61">
              <w:rPr>
                <w:noProof/>
                <w:sz w:val="24"/>
                <w:szCs w:val="24"/>
              </w:rPr>
              <w:t>4</w:t>
            </w:r>
            <w:r w:rsidRPr="003F4F61">
              <w:rPr>
                <w:noProof/>
                <w:sz w:val="24"/>
                <w:szCs w:val="24"/>
              </w:rPr>
              <w:fldChar w:fldCharType="end"/>
            </w:r>
          </w:hyperlink>
        </w:p>
        <w:p w14:paraId="22EB7829" w14:textId="18BCEC75" w:rsidR="003F4F61" w:rsidRPr="003F4F61" w:rsidRDefault="003F4F61">
          <w:pPr>
            <w:pStyle w:val="TOC1"/>
            <w:tabs>
              <w:tab w:val="right" w:leader="dot" w:pos="9016"/>
            </w:tabs>
            <w:rPr>
              <w:rFonts w:asciiTheme="minorHAnsi" w:eastAsiaTheme="minorEastAsia" w:hAnsiTheme="minorHAnsi" w:cstheme="minorBidi"/>
              <w:noProof/>
              <w:kern w:val="2"/>
              <w:sz w:val="28"/>
              <w:szCs w:val="28"/>
              <w14:ligatures w14:val="standardContextual"/>
            </w:rPr>
          </w:pPr>
          <w:hyperlink w:anchor="_Toc229554758" w:history="1">
            <w:r w:rsidRPr="003F4F61">
              <w:rPr>
                <w:rStyle w:val="Hyperlink"/>
                <w:noProof/>
                <w:sz w:val="24"/>
                <w:szCs w:val="24"/>
              </w:rPr>
              <w:t>3. Use Case Evaluation for Soudal</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_Toc229554758 \h </w:instrText>
            </w:r>
            <w:r w:rsidRPr="003F4F61">
              <w:rPr>
                <w:noProof/>
                <w:sz w:val="24"/>
                <w:szCs w:val="24"/>
              </w:rPr>
            </w:r>
            <w:r w:rsidRPr="003F4F61">
              <w:rPr>
                <w:noProof/>
                <w:sz w:val="24"/>
                <w:szCs w:val="24"/>
              </w:rPr>
              <w:fldChar w:fldCharType="separate"/>
            </w:r>
            <w:r w:rsidRPr="003F4F61">
              <w:rPr>
                <w:noProof/>
                <w:sz w:val="24"/>
                <w:szCs w:val="24"/>
              </w:rPr>
              <w:t>5</w:t>
            </w:r>
            <w:r w:rsidRPr="003F4F61">
              <w:rPr>
                <w:noProof/>
                <w:sz w:val="24"/>
                <w:szCs w:val="24"/>
              </w:rPr>
              <w:fldChar w:fldCharType="end"/>
            </w:r>
          </w:hyperlink>
        </w:p>
        <w:p w14:paraId="3E6D74B7" w14:textId="6CBAA744" w:rsidR="003F4F61" w:rsidRPr="003F4F61" w:rsidRDefault="003F4F61">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9554759" w:history="1">
            <w:r w:rsidRPr="003F4F61">
              <w:rPr>
                <w:rStyle w:val="Hyperlink"/>
                <w:noProof/>
                <w:sz w:val="24"/>
                <w:szCs w:val="24"/>
              </w:rPr>
              <w:t>3.1 Engineering and Factory Floor Elevation</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_Toc229554759 \h </w:instrText>
            </w:r>
            <w:r w:rsidRPr="003F4F61">
              <w:rPr>
                <w:noProof/>
                <w:sz w:val="24"/>
                <w:szCs w:val="24"/>
              </w:rPr>
            </w:r>
            <w:r w:rsidRPr="003F4F61">
              <w:rPr>
                <w:noProof/>
                <w:sz w:val="24"/>
                <w:szCs w:val="24"/>
              </w:rPr>
              <w:fldChar w:fldCharType="separate"/>
            </w:r>
            <w:r w:rsidRPr="003F4F61">
              <w:rPr>
                <w:noProof/>
                <w:sz w:val="24"/>
                <w:szCs w:val="24"/>
              </w:rPr>
              <w:t>5</w:t>
            </w:r>
            <w:r w:rsidRPr="003F4F61">
              <w:rPr>
                <w:noProof/>
                <w:sz w:val="24"/>
                <w:szCs w:val="24"/>
              </w:rPr>
              <w:fldChar w:fldCharType="end"/>
            </w:r>
          </w:hyperlink>
        </w:p>
        <w:p w14:paraId="082376B0" w14:textId="27A86FA2" w:rsidR="003F4F61" w:rsidRPr="003F4F61" w:rsidRDefault="003F4F61">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9554760" w:history="1">
            <w:r w:rsidRPr="003F4F61">
              <w:rPr>
                <w:rStyle w:val="Hyperlink"/>
                <w:noProof/>
                <w:sz w:val="24"/>
                <w:szCs w:val="24"/>
              </w:rPr>
              <w:t>3.2 Service Desk Support</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_Toc229554760 \h </w:instrText>
            </w:r>
            <w:r w:rsidRPr="003F4F61">
              <w:rPr>
                <w:noProof/>
                <w:sz w:val="24"/>
                <w:szCs w:val="24"/>
              </w:rPr>
            </w:r>
            <w:r w:rsidRPr="003F4F61">
              <w:rPr>
                <w:noProof/>
                <w:sz w:val="24"/>
                <w:szCs w:val="24"/>
              </w:rPr>
              <w:fldChar w:fldCharType="separate"/>
            </w:r>
            <w:r w:rsidRPr="003F4F61">
              <w:rPr>
                <w:noProof/>
                <w:sz w:val="24"/>
                <w:szCs w:val="24"/>
              </w:rPr>
              <w:t>5</w:t>
            </w:r>
            <w:r w:rsidRPr="003F4F61">
              <w:rPr>
                <w:noProof/>
                <w:sz w:val="24"/>
                <w:szCs w:val="24"/>
              </w:rPr>
              <w:fldChar w:fldCharType="end"/>
            </w:r>
          </w:hyperlink>
        </w:p>
        <w:p w14:paraId="538CE81F" w14:textId="48768065" w:rsidR="003F4F61" w:rsidRPr="003F4F61" w:rsidRDefault="003F4F61">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9554761" w:history="1">
            <w:r w:rsidRPr="003F4F61">
              <w:rPr>
                <w:rStyle w:val="Hyperlink"/>
                <w:noProof/>
                <w:sz w:val="24"/>
                <w:szCs w:val="24"/>
              </w:rPr>
              <w:t>3.3 Application Installation</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_Toc229554761 \h </w:instrText>
            </w:r>
            <w:r w:rsidRPr="003F4F61">
              <w:rPr>
                <w:noProof/>
                <w:sz w:val="24"/>
                <w:szCs w:val="24"/>
              </w:rPr>
            </w:r>
            <w:r w:rsidRPr="003F4F61">
              <w:rPr>
                <w:noProof/>
                <w:sz w:val="24"/>
                <w:szCs w:val="24"/>
              </w:rPr>
              <w:fldChar w:fldCharType="separate"/>
            </w:r>
            <w:r w:rsidRPr="003F4F61">
              <w:rPr>
                <w:noProof/>
                <w:sz w:val="24"/>
                <w:szCs w:val="24"/>
              </w:rPr>
              <w:t>5</w:t>
            </w:r>
            <w:r w:rsidRPr="003F4F61">
              <w:rPr>
                <w:noProof/>
                <w:sz w:val="24"/>
                <w:szCs w:val="24"/>
              </w:rPr>
              <w:fldChar w:fldCharType="end"/>
            </w:r>
          </w:hyperlink>
        </w:p>
        <w:p w14:paraId="5FB1D137" w14:textId="7E3853D3" w:rsidR="003F4F61" w:rsidRPr="003F4F61" w:rsidRDefault="003F4F61">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9554762" w:history="1">
            <w:r w:rsidRPr="003F4F61">
              <w:rPr>
                <w:rStyle w:val="Hyperlink"/>
                <w:noProof/>
                <w:sz w:val="24"/>
                <w:szCs w:val="24"/>
              </w:rPr>
              <w:t>3.4 Permission Revocation</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_Toc229554762 \h </w:instrText>
            </w:r>
            <w:r w:rsidRPr="003F4F61">
              <w:rPr>
                <w:noProof/>
                <w:sz w:val="24"/>
                <w:szCs w:val="24"/>
              </w:rPr>
            </w:r>
            <w:r w:rsidRPr="003F4F61">
              <w:rPr>
                <w:noProof/>
                <w:sz w:val="24"/>
                <w:szCs w:val="24"/>
              </w:rPr>
              <w:fldChar w:fldCharType="separate"/>
            </w:r>
            <w:r w:rsidRPr="003F4F61">
              <w:rPr>
                <w:noProof/>
                <w:sz w:val="24"/>
                <w:szCs w:val="24"/>
              </w:rPr>
              <w:t>6</w:t>
            </w:r>
            <w:r w:rsidRPr="003F4F61">
              <w:rPr>
                <w:noProof/>
                <w:sz w:val="24"/>
                <w:szCs w:val="24"/>
              </w:rPr>
              <w:fldChar w:fldCharType="end"/>
            </w:r>
          </w:hyperlink>
        </w:p>
        <w:p w14:paraId="43B410A9" w14:textId="34492BE6" w:rsidR="003F4F61" w:rsidRPr="003F4F61" w:rsidRDefault="003F4F61">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9554763" w:history="1">
            <w:r w:rsidRPr="003F4F61">
              <w:rPr>
                <w:rStyle w:val="Hyperlink"/>
                <w:noProof/>
                <w:sz w:val="24"/>
                <w:szCs w:val="24"/>
              </w:rPr>
              <w:t>3.5 Compliance and Audit</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_Toc229554763 \h </w:instrText>
            </w:r>
            <w:r w:rsidRPr="003F4F61">
              <w:rPr>
                <w:noProof/>
                <w:sz w:val="24"/>
                <w:szCs w:val="24"/>
              </w:rPr>
            </w:r>
            <w:r w:rsidRPr="003F4F61">
              <w:rPr>
                <w:noProof/>
                <w:sz w:val="24"/>
                <w:szCs w:val="24"/>
              </w:rPr>
              <w:fldChar w:fldCharType="separate"/>
            </w:r>
            <w:r w:rsidRPr="003F4F61">
              <w:rPr>
                <w:noProof/>
                <w:sz w:val="24"/>
                <w:szCs w:val="24"/>
              </w:rPr>
              <w:t>6</w:t>
            </w:r>
            <w:r w:rsidRPr="003F4F61">
              <w:rPr>
                <w:noProof/>
                <w:sz w:val="24"/>
                <w:szCs w:val="24"/>
              </w:rPr>
              <w:fldChar w:fldCharType="end"/>
            </w:r>
          </w:hyperlink>
        </w:p>
        <w:p w14:paraId="6DEFE986" w14:textId="267BDBC6" w:rsidR="003F4F61" w:rsidRPr="003F4F61" w:rsidRDefault="003F4F61">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9554764" w:history="1">
            <w:r w:rsidRPr="003F4F61">
              <w:rPr>
                <w:rStyle w:val="Hyperlink"/>
                <w:noProof/>
                <w:sz w:val="24"/>
                <w:szCs w:val="24"/>
              </w:rPr>
              <w:t>3.6 Use Case Summary</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_Toc229554764 \h </w:instrText>
            </w:r>
            <w:r w:rsidRPr="003F4F61">
              <w:rPr>
                <w:noProof/>
                <w:sz w:val="24"/>
                <w:szCs w:val="24"/>
              </w:rPr>
            </w:r>
            <w:r w:rsidRPr="003F4F61">
              <w:rPr>
                <w:noProof/>
                <w:sz w:val="24"/>
                <w:szCs w:val="24"/>
              </w:rPr>
              <w:fldChar w:fldCharType="separate"/>
            </w:r>
            <w:r w:rsidRPr="003F4F61">
              <w:rPr>
                <w:noProof/>
                <w:sz w:val="24"/>
                <w:szCs w:val="24"/>
              </w:rPr>
              <w:t>6</w:t>
            </w:r>
            <w:r w:rsidRPr="003F4F61">
              <w:rPr>
                <w:noProof/>
                <w:sz w:val="24"/>
                <w:szCs w:val="24"/>
              </w:rPr>
              <w:fldChar w:fldCharType="end"/>
            </w:r>
          </w:hyperlink>
        </w:p>
        <w:p w14:paraId="27DEBA7C" w14:textId="530700BE" w:rsidR="003F4F61" w:rsidRPr="003F4F61" w:rsidRDefault="003F4F61">
          <w:pPr>
            <w:pStyle w:val="TOC1"/>
            <w:tabs>
              <w:tab w:val="right" w:leader="dot" w:pos="9016"/>
            </w:tabs>
            <w:rPr>
              <w:rFonts w:asciiTheme="minorHAnsi" w:eastAsiaTheme="minorEastAsia" w:hAnsiTheme="minorHAnsi" w:cstheme="minorBidi"/>
              <w:noProof/>
              <w:kern w:val="2"/>
              <w:sz w:val="28"/>
              <w:szCs w:val="28"/>
              <w14:ligatures w14:val="standardContextual"/>
            </w:rPr>
          </w:pPr>
          <w:hyperlink w:anchor="_Toc229554765" w:history="1">
            <w:r w:rsidRPr="003F4F61">
              <w:rPr>
                <w:rStyle w:val="Hyperlink"/>
                <w:noProof/>
                <w:sz w:val="24"/>
                <w:szCs w:val="24"/>
              </w:rPr>
              <w:t>4. Detailed Findings</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_Toc229554765 \h </w:instrText>
            </w:r>
            <w:r w:rsidRPr="003F4F61">
              <w:rPr>
                <w:noProof/>
                <w:sz w:val="24"/>
                <w:szCs w:val="24"/>
              </w:rPr>
            </w:r>
            <w:r w:rsidRPr="003F4F61">
              <w:rPr>
                <w:noProof/>
                <w:sz w:val="24"/>
                <w:szCs w:val="24"/>
              </w:rPr>
              <w:fldChar w:fldCharType="separate"/>
            </w:r>
            <w:r w:rsidRPr="003F4F61">
              <w:rPr>
                <w:noProof/>
                <w:sz w:val="24"/>
                <w:szCs w:val="24"/>
              </w:rPr>
              <w:t>7</w:t>
            </w:r>
            <w:r w:rsidRPr="003F4F61">
              <w:rPr>
                <w:noProof/>
                <w:sz w:val="24"/>
                <w:szCs w:val="24"/>
              </w:rPr>
              <w:fldChar w:fldCharType="end"/>
            </w:r>
          </w:hyperlink>
        </w:p>
        <w:p w14:paraId="26A4E3D1" w14:textId="77AAB0A4" w:rsidR="003F4F61" w:rsidRPr="003F4F61" w:rsidRDefault="003F4F61">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9554766" w:history="1">
            <w:r w:rsidRPr="003F4F61">
              <w:rPr>
                <w:rStyle w:val="Hyperlink"/>
                <w:noProof/>
                <w:sz w:val="24"/>
                <w:szCs w:val="24"/>
              </w:rPr>
              <w:t>4.1 ABR Strengths</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_Toc229554766 \h </w:instrText>
            </w:r>
            <w:r w:rsidRPr="003F4F61">
              <w:rPr>
                <w:noProof/>
                <w:sz w:val="24"/>
                <w:szCs w:val="24"/>
              </w:rPr>
            </w:r>
            <w:r w:rsidRPr="003F4F61">
              <w:rPr>
                <w:noProof/>
                <w:sz w:val="24"/>
                <w:szCs w:val="24"/>
              </w:rPr>
              <w:fldChar w:fldCharType="separate"/>
            </w:r>
            <w:r w:rsidRPr="003F4F61">
              <w:rPr>
                <w:noProof/>
                <w:sz w:val="24"/>
                <w:szCs w:val="24"/>
              </w:rPr>
              <w:t>7</w:t>
            </w:r>
            <w:r w:rsidRPr="003F4F61">
              <w:rPr>
                <w:noProof/>
                <w:sz w:val="24"/>
                <w:szCs w:val="24"/>
              </w:rPr>
              <w:fldChar w:fldCharType="end"/>
            </w:r>
          </w:hyperlink>
        </w:p>
        <w:p w14:paraId="1EC48851" w14:textId="560D1097" w:rsidR="003F4F61" w:rsidRPr="003F4F61" w:rsidRDefault="003F4F61">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9554767" w:history="1">
            <w:r w:rsidRPr="003F4F61">
              <w:rPr>
                <w:rStyle w:val="Hyperlink"/>
                <w:noProof/>
                <w:sz w:val="24"/>
                <w:szCs w:val="24"/>
              </w:rPr>
              <w:t>4.2 ABR Limitations</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_Toc229554767 \h </w:instrText>
            </w:r>
            <w:r w:rsidRPr="003F4F61">
              <w:rPr>
                <w:noProof/>
                <w:sz w:val="24"/>
                <w:szCs w:val="24"/>
              </w:rPr>
            </w:r>
            <w:r w:rsidRPr="003F4F61">
              <w:rPr>
                <w:noProof/>
                <w:sz w:val="24"/>
                <w:szCs w:val="24"/>
              </w:rPr>
              <w:fldChar w:fldCharType="separate"/>
            </w:r>
            <w:r w:rsidRPr="003F4F61">
              <w:rPr>
                <w:noProof/>
                <w:sz w:val="24"/>
                <w:szCs w:val="24"/>
              </w:rPr>
              <w:t>7</w:t>
            </w:r>
            <w:r w:rsidRPr="003F4F61">
              <w:rPr>
                <w:noProof/>
                <w:sz w:val="24"/>
                <w:szCs w:val="24"/>
              </w:rPr>
              <w:fldChar w:fldCharType="end"/>
            </w:r>
          </w:hyperlink>
        </w:p>
        <w:p w14:paraId="74AE5886" w14:textId="616632C1" w:rsidR="003F4F61" w:rsidRPr="003F4F61" w:rsidRDefault="003F4F61">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9554768" w:history="1">
            <w:r w:rsidRPr="003F4F61">
              <w:rPr>
                <w:rStyle w:val="Hyperlink"/>
                <w:noProof/>
                <w:sz w:val="24"/>
                <w:szCs w:val="24"/>
              </w:rPr>
              <w:t>4.3 EPM Strengths</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_Toc229554768 \h </w:instrText>
            </w:r>
            <w:r w:rsidRPr="003F4F61">
              <w:rPr>
                <w:noProof/>
                <w:sz w:val="24"/>
                <w:szCs w:val="24"/>
              </w:rPr>
            </w:r>
            <w:r w:rsidRPr="003F4F61">
              <w:rPr>
                <w:noProof/>
                <w:sz w:val="24"/>
                <w:szCs w:val="24"/>
              </w:rPr>
              <w:fldChar w:fldCharType="separate"/>
            </w:r>
            <w:r w:rsidRPr="003F4F61">
              <w:rPr>
                <w:noProof/>
                <w:sz w:val="24"/>
                <w:szCs w:val="24"/>
              </w:rPr>
              <w:t>7</w:t>
            </w:r>
            <w:r w:rsidRPr="003F4F61">
              <w:rPr>
                <w:noProof/>
                <w:sz w:val="24"/>
                <w:szCs w:val="24"/>
              </w:rPr>
              <w:fldChar w:fldCharType="end"/>
            </w:r>
          </w:hyperlink>
        </w:p>
        <w:p w14:paraId="5F87095C" w14:textId="6AD6A65D" w:rsidR="003F4F61" w:rsidRPr="003F4F61" w:rsidRDefault="003F4F61">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9554769" w:history="1">
            <w:r w:rsidRPr="003F4F61">
              <w:rPr>
                <w:rStyle w:val="Hyperlink"/>
                <w:noProof/>
                <w:sz w:val="24"/>
                <w:szCs w:val="24"/>
              </w:rPr>
              <w:t>4.4 EPM Limitations</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_Toc229554769 \h </w:instrText>
            </w:r>
            <w:r w:rsidRPr="003F4F61">
              <w:rPr>
                <w:noProof/>
                <w:sz w:val="24"/>
                <w:szCs w:val="24"/>
              </w:rPr>
            </w:r>
            <w:r w:rsidRPr="003F4F61">
              <w:rPr>
                <w:noProof/>
                <w:sz w:val="24"/>
                <w:szCs w:val="24"/>
              </w:rPr>
              <w:fldChar w:fldCharType="separate"/>
            </w:r>
            <w:r w:rsidRPr="003F4F61">
              <w:rPr>
                <w:noProof/>
                <w:sz w:val="24"/>
                <w:szCs w:val="24"/>
              </w:rPr>
              <w:t>8</w:t>
            </w:r>
            <w:r w:rsidRPr="003F4F61">
              <w:rPr>
                <w:noProof/>
                <w:sz w:val="24"/>
                <w:szCs w:val="24"/>
              </w:rPr>
              <w:fldChar w:fldCharType="end"/>
            </w:r>
          </w:hyperlink>
        </w:p>
        <w:p w14:paraId="5A7EF1DA" w14:textId="288344F9" w:rsidR="003F4F61" w:rsidRPr="003F4F61" w:rsidRDefault="003F4F61">
          <w:pPr>
            <w:pStyle w:val="TOC1"/>
            <w:tabs>
              <w:tab w:val="right" w:leader="dot" w:pos="9016"/>
            </w:tabs>
            <w:rPr>
              <w:rFonts w:asciiTheme="minorHAnsi" w:eastAsiaTheme="minorEastAsia" w:hAnsiTheme="minorHAnsi" w:cstheme="minorBidi"/>
              <w:noProof/>
              <w:kern w:val="2"/>
              <w:sz w:val="28"/>
              <w:szCs w:val="28"/>
              <w14:ligatures w14:val="standardContextual"/>
            </w:rPr>
          </w:pPr>
          <w:hyperlink w:anchor="_Toc229554770" w:history="1">
            <w:r w:rsidRPr="003F4F61">
              <w:rPr>
                <w:rStyle w:val="Hyperlink"/>
                <w:noProof/>
                <w:sz w:val="24"/>
                <w:szCs w:val="24"/>
              </w:rPr>
              <w:t>5. Recommendation</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_Toc229554770 \h </w:instrText>
            </w:r>
            <w:r w:rsidRPr="003F4F61">
              <w:rPr>
                <w:noProof/>
                <w:sz w:val="24"/>
                <w:szCs w:val="24"/>
              </w:rPr>
            </w:r>
            <w:r w:rsidRPr="003F4F61">
              <w:rPr>
                <w:noProof/>
                <w:sz w:val="24"/>
                <w:szCs w:val="24"/>
              </w:rPr>
              <w:fldChar w:fldCharType="separate"/>
            </w:r>
            <w:r w:rsidRPr="003F4F61">
              <w:rPr>
                <w:noProof/>
                <w:sz w:val="24"/>
                <w:szCs w:val="24"/>
              </w:rPr>
              <w:t>9</w:t>
            </w:r>
            <w:r w:rsidRPr="003F4F61">
              <w:rPr>
                <w:noProof/>
                <w:sz w:val="24"/>
                <w:szCs w:val="24"/>
              </w:rPr>
              <w:fldChar w:fldCharType="end"/>
            </w:r>
          </w:hyperlink>
        </w:p>
        <w:p w14:paraId="53111375" w14:textId="5EDB28EF" w:rsidR="003F4F61" w:rsidRPr="003F4F61" w:rsidRDefault="003F4F61">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9554771" w:history="1">
            <w:r w:rsidRPr="003F4F61">
              <w:rPr>
                <w:rStyle w:val="Hyperlink"/>
                <w:noProof/>
                <w:sz w:val="24"/>
                <w:szCs w:val="24"/>
              </w:rPr>
              <w:t>5.1 Decisive Factor 1  Offline Capability</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_Toc229554771 \h </w:instrText>
            </w:r>
            <w:r w:rsidRPr="003F4F61">
              <w:rPr>
                <w:noProof/>
                <w:sz w:val="24"/>
                <w:szCs w:val="24"/>
              </w:rPr>
            </w:r>
            <w:r w:rsidRPr="003F4F61">
              <w:rPr>
                <w:noProof/>
                <w:sz w:val="24"/>
                <w:szCs w:val="24"/>
              </w:rPr>
              <w:fldChar w:fldCharType="separate"/>
            </w:r>
            <w:r w:rsidRPr="003F4F61">
              <w:rPr>
                <w:noProof/>
                <w:sz w:val="24"/>
                <w:szCs w:val="24"/>
              </w:rPr>
              <w:t>9</w:t>
            </w:r>
            <w:r w:rsidRPr="003F4F61">
              <w:rPr>
                <w:noProof/>
                <w:sz w:val="24"/>
                <w:szCs w:val="24"/>
              </w:rPr>
              <w:fldChar w:fldCharType="end"/>
            </w:r>
          </w:hyperlink>
        </w:p>
        <w:p w14:paraId="5124527C" w14:textId="53235B82" w:rsidR="003F4F61" w:rsidRPr="003F4F61" w:rsidRDefault="003F4F61">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9554772" w:history="1">
            <w:r w:rsidRPr="003F4F61">
              <w:rPr>
                <w:rStyle w:val="Hyperlink"/>
                <w:noProof/>
                <w:sz w:val="24"/>
                <w:szCs w:val="24"/>
              </w:rPr>
              <w:t>5.2 Decisive Factor 2  Operational Flexibility</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_Toc229554772 \h </w:instrText>
            </w:r>
            <w:r w:rsidRPr="003F4F61">
              <w:rPr>
                <w:noProof/>
                <w:sz w:val="24"/>
                <w:szCs w:val="24"/>
              </w:rPr>
            </w:r>
            <w:r w:rsidRPr="003F4F61">
              <w:rPr>
                <w:noProof/>
                <w:sz w:val="24"/>
                <w:szCs w:val="24"/>
              </w:rPr>
              <w:fldChar w:fldCharType="separate"/>
            </w:r>
            <w:r w:rsidRPr="003F4F61">
              <w:rPr>
                <w:noProof/>
                <w:sz w:val="24"/>
                <w:szCs w:val="24"/>
              </w:rPr>
              <w:t>9</w:t>
            </w:r>
            <w:r w:rsidRPr="003F4F61">
              <w:rPr>
                <w:noProof/>
                <w:sz w:val="24"/>
                <w:szCs w:val="24"/>
              </w:rPr>
              <w:fldChar w:fldCharType="end"/>
            </w:r>
          </w:hyperlink>
        </w:p>
        <w:p w14:paraId="797D36DC" w14:textId="08944F65" w:rsidR="003F4F61" w:rsidRPr="003F4F61" w:rsidRDefault="003F4F61">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9554773" w:history="1">
            <w:r w:rsidRPr="003F4F61">
              <w:rPr>
                <w:rStyle w:val="Hyperlink"/>
                <w:noProof/>
                <w:sz w:val="24"/>
                <w:szCs w:val="24"/>
              </w:rPr>
              <w:t>5.3 Decisive Factor 3  Local Administrator Inventory</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_Toc229554773 \h </w:instrText>
            </w:r>
            <w:r w:rsidRPr="003F4F61">
              <w:rPr>
                <w:noProof/>
                <w:sz w:val="24"/>
                <w:szCs w:val="24"/>
              </w:rPr>
            </w:r>
            <w:r w:rsidRPr="003F4F61">
              <w:rPr>
                <w:noProof/>
                <w:sz w:val="24"/>
                <w:szCs w:val="24"/>
              </w:rPr>
              <w:fldChar w:fldCharType="separate"/>
            </w:r>
            <w:r w:rsidRPr="003F4F61">
              <w:rPr>
                <w:noProof/>
                <w:sz w:val="24"/>
                <w:szCs w:val="24"/>
              </w:rPr>
              <w:t>9</w:t>
            </w:r>
            <w:r w:rsidRPr="003F4F61">
              <w:rPr>
                <w:noProof/>
                <w:sz w:val="24"/>
                <w:szCs w:val="24"/>
              </w:rPr>
              <w:fldChar w:fldCharType="end"/>
            </w:r>
          </w:hyperlink>
        </w:p>
        <w:p w14:paraId="53AE91A1" w14:textId="416B6BC9" w:rsidR="003F4F61" w:rsidRPr="003F4F61" w:rsidRDefault="003F4F61">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9554774" w:history="1">
            <w:r w:rsidRPr="003F4F61">
              <w:rPr>
                <w:rStyle w:val="Hyperlink"/>
                <w:noProof/>
                <w:sz w:val="24"/>
                <w:szCs w:val="24"/>
              </w:rPr>
              <w:t>5.4 Consideration for a Hybrid Approach</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_Toc229554774 \h </w:instrText>
            </w:r>
            <w:r w:rsidRPr="003F4F61">
              <w:rPr>
                <w:noProof/>
                <w:sz w:val="24"/>
                <w:szCs w:val="24"/>
              </w:rPr>
            </w:r>
            <w:r w:rsidRPr="003F4F61">
              <w:rPr>
                <w:noProof/>
                <w:sz w:val="24"/>
                <w:szCs w:val="24"/>
              </w:rPr>
              <w:fldChar w:fldCharType="separate"/>
            </w:r>
            <w:r w:rsidRPr="003F4F61">
              <w:rPr>
                <w:noProof/>
                <w:sz w:val="24"/>
                <w:szCs w:val="24"/>
              </w:rPr>
              <w:t>9</w:t>
            </w:r>
            <w:r w:rsidRPr="003F4F61">
              <w:rPr>
                <w:noProof/>
                <w:sz w:val="24"/>
                <w:szCs w:val="24"/>
              </w:rPr>
              <w:fldChar w:fldCharType="end"/>
            </w:r>
          </w:hyperlink>
        </w:p>
        <w:p w14:paraId="6B15A321" w14:textId="5A4C0BF7" w:rsidR="003F4F61" w:rsidRPr="003F4F61" w:rsidRDefault="003F4F61">
          <w:pPr>
            <w:pStyle w:val="TOC1"/>
            <w:tabs>
              <w:tab w:val="right" w:leader="dot" w:pos="9016"/>
            </w:tabs>
            <w:rPr>
              <w:rFonts w:asciiTheme="minorHAnsi" w:eastAsiaTheme="minorEastAsia" w:hAnsiTheme="minorHAnsi" w:cstheme="minorBidi"/>
              <w:noProof/>
              <w:kern w:val="2"/>
              <w:sz w:val="28"/>
              <w:szCs w:val="28"/>
              <w14:ligatures w14:val="standardContextual"/>
            </w:rPr>
          </w:pPr>
          <w:hyperlink w:anchor="_Toc229554775" w:history="1">
            <w:r w:rsidRPr="003F4F61">
              <w:rPr>
                <w:rStyle w:val="Hyperlink"/>
                <w:noProof/>
                <w:sz w:val="24"/>
                <w:szCs w:val="24"/>
              </w:rPr>
              <w:t>6. Next Steps</w:t>
            </w:r>
            <w:r w:rsidRPr="003F4F61">
              <w:rPr>
                <w:noProof/>
                <w:sz w:val="24"/>
                <w:szCs w:val="24"/>
              </w:rPr>
              <w:tab/>
            </w:r>
            <w:r w:rsidRPr="003F4F61">
              <w:rPr>
                <w:noProof/>
                <w:sz w:val="24"/>
                <w:szCs w:val="24"/>
              </w:rPr>
              <w:fldChar w:fldCharType="begin"/>
            </w:r>
            <w:r w:rsidRPr="003F4F61">
              <w:rPr>
                <w:noProof/>
                <w:sz w:val="24"/>
                <w:szCs w:val="24"/>
              </w:rPr>
              <w:instrText xml:space="preserve"> PAGEREF _Toc229554775 \h </w:instrText>
            </w:r>
            <w:r w:rsidRPr="003F4F61">
              <w:rPr>
                <w:noProof/>
                <w:sz w:val="24"/>
                <w:szCs w:val="24"/>
              </w:rPr>
            </w:r>
            <w:r w:rsidRPr="003F4F61">
              <w:rPr>
                <w:noProof/>
                <w:sz w:val="24"/>
                <w:szCs w:val="24"/>
              </w:rPr>
              <w:fldChar w:fldCharType="separate"/>
            </w:r>
            <w:r w:rsidRPr="003F4F61">
              <w:rPr>
                <w:noProof/>
                <w:sz w:val="24"/>
                <w:szCs w:val="24"/>
              </w:rPr>
              <w:t>10</w:t>
            </w:r>
            <w:r w:rsidRPr="003F4F61">
              <w:rPr>
                <w:noProof/>
                <w:sz w:val="24"/>
                <w:szCs w:val="24"/>
              </w:rPr>
              <w:fldChar w:fldCharType="end"/>
            </w:r>
          </w:hyperlink>
        </w:p>
        <w:p w14:paraId="7F8C8609" w14:textId="38201A6E" w:rsidR="00A17E96" w:rsidRDefault="00000000">
          <w:r w:rsidRPr="003F4F61">
            <w:rPr>
              <w:sz w:val="24"/>
              <w:szCs w:val="24"/>
            </w:rPr>
            <w:fldChar w:fldCharType="end"/>
          </w:r>
        </w:p>
      </w:sdtContent>
    </w:sdt>
    <w:p w14:paraId="4CFF1076" w14:textId="77777777" w:rsidR="00A17E96" w:rsidRDefault="00000000">
      <w:r>
        <w:br w:type="page"/>
      </w:r>
    </w:p>
    <w:p w14:paraId="70276F2F" w14:textId="77777777" w:rsidR="00A17E96" w:rsidRDefault="00000000">
      <w:pPr>
        <w:pStyle w:val="Heading1"/>
      </w:pPr>
      <w:bookmarkStart w:id="1" w:name="_Toc229554756"/>
      <w:r>
        <w:lastRenderedPageBreak/>
        <w:t>1. Executive Summary</w:t>
      </w:r>
      <w:bookmarkEnd w:id="1"/>
    </w:p>
    <w:p w14:paraId="33E142A1" w14:textId="77777777" w:rsidR="00A17E96" w:rsidRDefault="00000000">
      <w:pPr>
        <w:spacing w:after="120" w:line="300" w:lineRule="auto"/>
      </w:pPr>
      <w:r>
        <w:rPr>
          <w:color w:val="1A1A1A"/>
        </w:rPr>
        <w:t>This document provides a structured comparison between Admin By Request (ABR) and Microsoft Endpoint Privilege Management (EPM) as candidate solutions for replacing permanent local administrator rights at Soudal NV. The comparison draws on the results of hands-on laboratory testing documented in the realization report (Chapters 3 and 4) and evaluates both tools against Soudal's operational requirements, technical environment, and compliance obligations.</w:t>
      </w:r>
    </w:p>
    <w:p w14:paraId="63C5EB56" w14:textId="77777777" w:rsidR="00A17E96" w:rsidRDefault="00000000">
      <w:pPr>
        <w:spacing w:after="120" w:line="300" w:lineRule="auto"/>
      </w:pPr>
      <w:r>
        <w:rPr>
          <w:color w:val="1A1A1A"/>
        </w:rPr>
        <w:t>The evaluation was conducted using a weighted scoring approach across eight categories: product type, operating system support, elevation types, offline capability, audit logging, approval workflows, Intune integration, and local administrator inventory. Each category was assessed against the five use cases identified during the analysis phase: engineering and factory floor elevation, Service Desk support, application installation, permission revocation, and compliance audit.</w:t>
      </w:r>
    </w:p>
    <w:p w14:paraId="3AE21BB5" w14:textId="77777777" w:rsidR="00A17E96" w:rsidRDefault="00000000">
      <w:pPr>
        <w:spacing w:after="120" w:line="300" w:lineRule="auto"/>
      </w:pPr>
      <w:r>
        <w:rPr>
          <w:color w:val="1A1A1A"/>
        </w:rPr>
        <w:t>The recommendation is that Admin By Request should be adopted as the primary privilege elevation solution at Soudal. The three decisive factors supporting this recommendation are offline capability for factory and engineering environments, operational flexibility across all five use cases, and built-in local administrator inventory for the permission revocation phase.</w:t>
      </w:r>
    </w:p>
    <w:p w14:paraId="0F4DC3F3" w14:textId="77777777" w:rsidR="00A17E96" w:rsidRDefault="00000000">
      <w:r>
        <w:br w:type="page"/>
      </w:r>
    </w:p>
    <w:p w14:paraId="356308E9" w14:textId="77777777" w:rsidR="00A17E96" w:rsidRDefault="00000000">
      <w:pPr>
        <w:pStyle w:val="Heading1"/>
      </w:pPr>
      <w:bookmarkStart w:id="2" w:name="_Toc229554757"/>
      <w:r>
        <w:lastRenderedPageBreak/>
        <w:t>2. Feature Comparison Matrix</w:t>
      </w:r>
      <w:bookmarkEnd w:id="2"/>
    </w:p>
    <w:p w14:paraId="33599EFF" w14:textId="77777777" w:rsidR="00A17E96" w:rsidRDefault="00000000">
      <w:pPr>
        <w:spacing w:after="120" w:line="300" w:lineRule="auto"/>
      </w:pPr>
      <w:r>
        <w:rPr>
          <w:color w:val="1A1A1A"/>
        </w:rPr>
        <w:t>The following table presents a side-by-side comparison of ABR and EPM across the dimensions most relevant to Soudal's requirements. The Advantage column indicates which tool performed better for each category based on the laboratory testing results.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2800"/>
        <w:gridCol w:w="2800"/>
        <w:gridCol w:w="1626"/>
      </w:tblGrid>
      <w:tr w:rsidR="00A17E96" w14:paraId="126CA8A5" w14:textId="77777777">
        <w:trPr>
          <w:tblHeader/>
        </w:trPr>
        <w:tc>
          <w:tcPr>
            <w:tcW w:w="18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10357A00" w14:textId="77777777" w:rsidR="00A17E96" w:rsidRDefault="00000000">
            <w:r>
              <w:rPr>
                <w:b/>
                <w:bCs/>
                <w:color w:val="1A1A1A"/>
                <w:sz w:val="21"/>
                <w:szCs w:val="21"/>
              </w:rPr>
              <w:t>Category</w:t>
            </w:r>
          </w:p>
        </w:tc>
        <w:tc>
          <w:tcPr>
            <w:tcW w:w="28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6E9611E9" w14:textId="77777777" w:rsidR="00A17E96" w:rsidRDefault="00000000">
            <w:r>
              <w:rPr>
                <w:b/>
                <w:bCs/>
                <w:color w:val="1A1A1A"/>
                <w:sz w:val="21"/>
                <w:szCs w:val="21"/>
              </w:rPr>
              <w:t>Admin By Request</w:t>
            </w:r>
          </w:p>
        </w:tc>
        <w:tc>
          <w:tcPr>
            <w:tcW w:w="28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0E3A1587" w14:textId="77777777" w:rsidR="00A17E96" w:rsidRDefault="00000000">
            <w:r>
              <w:rPr>
                <w:b/>
                <w:bCs/>
                <w:color w:val="1A1A1A"/>
                <w:sz w:val="21"/>
                <w:szCs w:val="21"/>
              </w:rPr>
              <w:t>Microsoft EPM</w:t>
            </w:r>
          </w:p>
        </w:tc>
        <w:tc>
          <w:tcPr>
            <w:tcW w:w="1626"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65589583" w14:textId="77777777" w:rsidR="00A17E96" w:rsidRDefault="00000000">
            <w:r>
              <w:rPr>
                <w:b/>
                <w:bCs/>
                <w:color w:val="1A1A1A"/>
                <w:sz w:val="21"/>
                <w:szCs w:val="21"/>
              </w:rPr>
              <w:t>Advantage</w:t>
            </w:r>
          </w:p>
        </w:tc>
      </w:tr>
      <w:tr w:rsidR="00A17E96" w14:paraId="08AA2898" w14:textId="77777777">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D8E848D" w14:textId="77777777" w:rsidR="00A17E96" w:rsidRDefault="00000000">
            <w:r>
              <w:rPr>
                <w:b/>
                <w:bCs/>
                <w:color w:val="1A1A1A"/>
                <w:sz w:val="21"/>
                <w:szCs w:val="21"/>
              </w:rPr>
              <w:t>Product type</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F80016C" w14:textId="77777777" w:rsidR="00A17E96" w:rsidRDefault="00000000">
            <w:r>
              <w:rPr>
                <w:color w:val="1A1A1A"/>
                <w:sz w:val="21"/>
                <w:szCs w:val="21"/>
              </w:rPr>
              <w:t>Dedicated cloud PAM platform with its own management portal</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CC34ACD" w14:textId="77777777" w:rsidR="00A17E96" w:rsidRDefault="00000000">
            <w:r>
              <w:rPr>
                <w:color w:val="1A1A1A"/>
                <w:sz w:val="21"/>
                <w:szCs w:val="21"/>
              </w:rPr>
              <w:t>Native Microsoft Intune add-on with no separate portal</w:t>
            </w:r>
          </w:p>
        </w:tc>
        <w:tc>
          <w:tcPr>
            <w:tcW w:w="1626" w:type="dxa"/>
            <w:tcBorders>
              <w:top w:val="single" w:sz="4" w:space="0" w:color="D9D9D9"/>
              <w:left w:val="single" w:sz="4" w:space="0" w:color="D9D9D9"/>
              <w:bottom w:val="single" w:sz="4" w:space="0" w:color="D9D9D9"/>
              <w:right w:val="single" w:sz="4" w:space="0" w:color="D9D9D9"/>
            </w:tcBorders>
            <w:shd w:val="clear" w:color="auto" w:fill="F5F5F5"/>
            <w:tcMar>
              <w:top w:w="80" w:type="dxa"/>
              <w:left w:w="120" w:type="dxa"/>
              <w:bottom w:w="80" w:type="dxa"/>
              <w:right w:w="120" w:type="dxa"/>
            </w:tcMar>
            <w:vAlign w:val="center"/>
          </w:tcPr>
          <w:p w14:paraId="2B1967A7" w14:textId="77777777" w:rsidR="00A17E96" w:rsidRDefault="00000000">
            <w:r>
              <w:rPr>
                <w:b/>
                <w:bCs/>
                <w:color w:val="1A1A1A"/>
                <w:sz w:val="21"/>
                <w:szCs w:val="21"/>
              </w:rPr>
              <w:t>Context-dependent</w:t>
            </w:r>
          </w:p>
        </w:tc>
      </w:tr>
      <w:tr w:rsidR="00A17E96" w14:paraId="001FC8C9" w14:textId="77777777">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2E4082B" w14:textId="77777777" w:rsidR="00A17E96" w:rsidRDefault="00000000">
            <w:r>
              <w:rPr>
                <w:b/>
                <w:bCs/>
                <w:color w:val="1A1A1A"/>
                <w:sz w:val="21"/>
                <w:szCs w:val="21"/>
              </w:rPr>
              <w:t>OS support</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11A0EE6" w14:textId="77777777" w:rsidR="00A17E96" w:rsidRDefault="00000000">
            <w:r>
              <w:rPr>
                <w:color w:val="1A1A1A"/>
                <w:sz w:val="21"/>
                <w:szCs w:val="21"/>
              </w:rPr>
              <w:t>Windows, macOS, Linux</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FBA46A7" w14:textId="77777777" w:rsidR="00A17E96" w:rsidRDefault="00000000">
            <w:r>
              <w:rPr>
                <w:color w:val="1A1A1A"/>
                <w:sz w:val="21"/>
                <w:szCs w:val="21"/>
              </w:rPr>
              <w:t>Windows only</w:t>
            </w:r>
          </w:p>
        </w:tc>
        <w:tc>
          <w:tcPr>
            <w:tcW w:w="1626" w:type="dxa"/>
            <w:tcBorders>
              <w:top w:val="single" w:sz="4" w:space="0" w:color="D9D9D9"/>
              <w:left w:val="single" w:sz="4" w:space="0" w:color="D9D9D9"/>
              <w:bottom w:val="single" w:sz="4" w:space="0" w:color="D9D9D9"/>
              <w:right w:val="single" w:sz="4" w:space="0" w:color="D9D9D9"/>
            </w:tcBorders>
            <w:shd w:val="clear" w:color="auto" w:fill="DBEEF4"/>
            <w:tcMar>
              <w:top w:w="80" w:type="dxa"/>
              <w:left w:w="120" w:type="dxa"/>
              <w:bottom w:w="80" w:type="dxa"/>
              <w:right w:w="120" w:type="dxa"/>
            </w:tcMar>
            <w:vAlign w:val="center"/>
          </w:tcPr>
          <w:p w14:paraId="08354EE1" w14:textId="77777777" w:rsidR="00A17E96" w:rsidRDefault="00000000">
            <w:r>
              <w:rPr>
                <w:b/>
                <w:bCs/>
                <w:color w:val="1A1A1A"/>
                <w:sz w:val="21"/>
                <w:szCs w:val="21"/>
              </w:rPr>
              <w:t>ABR</w:t>
            </w:r>
          </w:p>
        </w:tc>
      </w:tr>
      <w:tr w:rsidR="00A17E96" w14:paraId="5C30097B" w14:textId="77777777">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E667F97" w14:textId="77777777" w:rsidR="00A17E96" w:rsidRDefault="00000000">
            <w:r>
              <w:rPr>
                <w:b/>
                <w:bCs/>
                <w:color w:val="1A1A1A"/>
                <w:sz w:val="21"/>
                <w:szCs w:val="21"/>
              </w:rPr>
              <w:t>Elevation types</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D39A305" w14:textId="77777777" w:rsidR="00A17E96" w:rsidRDefault="00000000">
            <w:r>
              <w:rPr>
                <w:color w:val="1A1A1A"/>
                <w:sz w:val="21"/>
                <w:szCs w:val="21"/>
              </w:rPr>
              <w:t>Run As Admin, Admin Session, Break Glass, Offline PIN, Pre-approved rules</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72FAC8A" w14:textId="77777777" w:rsidR="00A17E96" w:rsidRDefault="00000000">
            <w:r>
              <w:rPr>
                <w:color w:val="1A1A1A"/>
                <w:sz w:val="21"/>
                <w:szCs w:val="21"/>
              </w:rPr>
              <w:t>Virtual elevation via policy rules (automatic or user-confirmed)</w:t>
            </w:r>
          </w:p>
        </w:tc>
        <w:tc>
          <w:tcPr>
            <w:tcW w:w="1626" w:type="dxa"/>
            <w:tcBorders>
              <w:top w:val="single" w:sz="4" w:space="0" w:color="D9D9D9"/>
              <w:left w:val="single" w:sz="4" w:space="0" w:color="D9D9D9"/>
              <w:bottom w:val="single" w:sz="4" w:space="0" w:color="D9D9D9"/>
              <w:right w:val="single" w:sz="4" w:space="0" w:color="D9D9D9"/>
            </w:tcBorders>
            <w:shd w:val="clear" w:color="auto" w:fill="DBEEF4"/>
            <w:tcMar>
              <w:top w:w="80" w:type="dxa"/>
              <w:left w:w="120" w:type="dxa"/>
              <w:bottom w:w="80" w:type="dxa"/>
              <w:right w:w="120" w:type="dxa"/>
            </w:tcMar>
            <w:vAlign w:val="center"/>
          </w:tcPr>
          <w:p w14:paraId="0AFB0D0B" w14:textId="77777777" w:rsidR="00A17E96" w:rsidRDefault="00000000">
            <w:r>
              <w:rPr>
                <w:b/>
                <w:bCs/>
                <w:color w:val="1A1A1A"/>
                <w:sz w:val="21"/>
                <w:szCs w:val="21"/>
              </w:rPr>
              <w:t>ABR</w:t>
            </w:r>
          </w:p>
        </w:tc>
      </w:tr>
      <w:tr w:rsidR="00A17E96" w14:paraId="5ABC8E40" w14:textId="77777777">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9E88D26" w14:textId="77777777" w:rsidR="00A17E96" w:rsidRDefault="00000000">
            <w:r>
              <w:rPr>
                <w:b/>
                <w:bCs/>
                <w:color w:val="1A1A1A"/>
                <w:sz w:val="21"/>
                <w:szCs w:val="21"/>
              </w:rPr>
              <w:t>Offline capability</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97BC000" w14:textId="77777777" w:rsidR="00A17E96" w:rsidRDefault="00000000">
            <w:r>
              <w:rPr>
                <w:color w:val="1A1A1A"/>
                <w:sz w:val="21"/>
                <w:szCs w:val="21"/>
              </w:rPr>
              <w:t>Full offline support via Offline PIN with audit sync on reconnection</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B8187A3" w14:textId="77777777" w:rsidR="00A17E96" w:rsidRDefault="00000000">
            <w:r>
              <w:rPr>
                <w:color w:val="1A1A1A"/>
                <w:sz w:val="21"/>
                <w:szCs w:val="21"/>
              </w:rPr>
              <w:t>Limited; requires connectivity for policy evaluation in most scenarios</w:t>
            </w:r>
          </w:p>
        </w:tc>
        <w:tc>
          <w:tcPr>
            <w:tcW w:w="1626" w:type="dxa"/>
            <w:tcBorders>
              <w:top w:val="single" w:sz="4" w:space="0" w:color="D9D9D9"/>
              <w:left w:val="single" w:sz="4" w:space="0" w:color="D9D9D9"/>
              <w:bottom w:val="single" w:sz="4" w:space="0" w:color="D9D9D9"/>
              <w:right w:val="single" w:sz="4" w:space="0" w:color="D9D9D9"/>
            </w:tcBorders>
            <w:shd w:val="clear" w:color="auto" w:fill="DBEEF4"/>
            <w:tcMar>
              <w:top w:w="80" w:type="dxa"/>
              <w:left w:w="120" w:type="dxa"/>
              <w:bottom w:w="80" w:type="dxa"/>
              <w:right w:w="120" w:type="dxa"/>
            </w:tcMar>
            <w:vAlign w:val="center"/>
          </w:tcPr>
          <w:p w14:paraId="033D1E35" w14:textId="77777777" w:rsidR="00A17E96" w:rsidRDefault="00000000">
            <w:r>
              <w:rPr>
                <w:b/>
                <w:bCs/>
                <w:color w:val="1A1A1A"/>
                <w:sz w:val="21"/>
                <w:szCs w:val="21"/>
              </w:rPr>
              <w:t>ABR</w:t>
            </w:r>
          </w:p>
        </w:tc>
      </w:tr>
      <w:tr w:rsidR="00A17E96" w14:paraId="592E2EFA" w14:textId="77777777">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EAA1388" w14:textId="77777777" w:rsidR="00A17E96" w:rsidRDefault="00000000">
            <w:r>
              <w:rPr>
                <w:b/>
                <w:bCs/>
                <w:color w:val="1A1A1A"/>
                <w:sz w:val="21"/>
                <w:szCs w:val="21"/>
              </w:rPr>
              <w:t>Audit logging</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DBC1090" w14:textId="77777777" w:rsidR="00A17E96" w:rsidRDefault="00000000">
            <w:r>
              <w:rPr>
                <w:color w:val="1A1A1A"/>
                <w:sz w:val="21"/>
                <w:szCs w:val="21"/>
              </w:rPr>
              <w:t>Comprehensive cloud logs with SIEM export capability</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2D43B15" w14:textId="77777777" w:rsidR="00A17E96" w:rsidRDefault="00000000">
            <w:r>
              <w:rPr>
                <w:color w:val="1A1A1A"/>
                <w:sz w:val="21"/>
                <w:szCs w:val="21"/>
              </w:rPr>
              <w:t>Integrated with Intune and Defender device telemetry</w:t>
            </w:r>
          </w:p>
        </w:tc>
        <w:tc>
          <w:tcPr>
            <w:tcW w:w="1626" w:type="dxa"/>
            <w:tcBorders>
              <w:top w:val="single" w:sz="4" w:space="0" w:color="D9D9D9"/>
              <w:left w:val="single" w:sz="4" w:space="0" w:color="D9D9D9"/>
              <w:bottom w:val="single" w:sz="4" w:space="0" w:color="D9D9D9"/>
              <w:right w:val="single" w:sz="4" w:space="0" w:color="D9D9D9"/>
            </w:tcBorders>
            <w:shd w:val="clear" w:color="auto" w:fill="F5F5F5"/>
            <w:tcMar>
              <w:top w:w="80" w:type="dxa"/>
              <w:left w:w="120" w:type="dxa"/>
              <w:bottom w:w="80" w:type="dxa"/>
              <w:right w:w="120" w:type="dxa"/>
            </w:tcMar>
            <w:vAlign w:val="center"/>
          </w:tcPr>
          <w:p w14:paraId="42EB5524" w14:textId="77777777" w:rsidR="00A17E96" w:rsidRDefault="00000000">
            <w:r>
              <w:rPr>
                <w:b/>
                <w:bCs/>
                <w:color w:val="1A1A1A"/>
                <w:sz w:val="21"/>
                <w:szCs w:val="21"/>
              </w:rPr>
              <w:t>Tie</w:t>
            </w:r>
          </w:p>
        </w:tc>
      </w:tr>
      <w:tr w:rsidR="00A17E96" w14:paraId="01849DC3" w14:textId="77777777">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BCD120C" w14:textId="77777777" w:rsidR="00A17E96" w:rsidRDefault="00000000">
            <w:r>
              <w:rPr>
                <w:b/>
                <w:bCs/>
                <w:color w:val="1A1A1A"/>
                <w:sz w:val="21"/>
                <w:szCs w:val="21"/>
              </w:rPr>
              <w:t>Approval workflow</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53A3F68" w14:textId="77777777" w:rsidR="00A17E96" w:rsidRDefault="00000000">
            <w:r>
              <w:rPr>
                <w:color w:val="1A1A1A"/>
                <w:sz w:val="21"/>
                <w:szCs w:val="21"/>
              </w:rPr>
              <w:t>Full real-time approval workflow with admin notification and offline fallback</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69F6BF3" w14:textId="77777777" w:rsidR="00A17E96" w:rsidRDefault="00000000">
            <w:r>
              <w:rPr>
                <w:color w:val="1A1A1A"/>
                <w:sz w:val="21"/>
                <w:szCs w:val="21"/>
              </w:rPr>
              <w:t>No real-time approval; rules are pre-defined as automatic or user-confirmed</w:t>
            </w:r>
          </w:p>
        </w:tc>
        <w:tc>
          <w:tcPr>
            <w:tcW w:w="1626" w:type="dxa"/>
            <w:tcBorders>
              <w:top w:val="single" w:sz="4" w:space="0" w:color="D9D9D9"/>
              <w:left w:val="single" w:sz="4" w:space="0" w:color="D9D9D9"/>
              <w:bottom w:val="single" w:sz="4" w:space="0" w:color="D9D9D9"/>
              <w:right w:val="single" w:sz="4" w:space="0" w:color="D9D9D9"/>
            </w:tcBorders>
            <w:shd w:val="clear" w:color="auto" w:fill="DBEEF4"/>
            <w:tcMar>
              <w:top w:w="80" w:type="dxa"/>
              <w:left w:w="120" w:type="dxa"/>
              <w:bottom w:w="80" w:type="dxa"/>
              <w:right w:w="120" w:type="dxa"/>
            </w:tcMar>
            <w:vAlign w:val="center"/>
          </w:tcPr>
          <w:p w14:paraId="2CFD03B9" w14:textId="77777777" w:rsidR="00A17E96" w:rsidRDefault="00000000">
            <w:r>
              <w:rPr>
                <w:b/>
                <w:bCs/>
                <w:color w:val="1A1A1A"/>
                <w:sz w:val="21"/>
                <w:szCs w:val="21"/>
              </w:rPr>
              <w:t>ABR</w:t>
            </w:r>
          </w:p>
        </w:tc>
      </w:tr>
      <w:tr w:rsidR="00A17E96" w14:paraId="58CB7E99" w14:textId="77777777">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7A4F53D" w14:textId="77777777" w:rsidR="00A17E96" w:rsidRDefault="00000000">
            <w:r>
              <w:rPr>
                <w:b/>
                <w:bCs/>
                <w:color w:val="1A1A1A"/>
                <w:sz w:val="21"/>
                <w:szCs w:val="21"/>
              </w:rPr>
              <w:t>Intune integration</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E61163A" w14:textId="77777777" w:rsidR="00A17E96" w:rsidRDefault="00000000">
            <w:r>
              <w:rPr>
                <w:color w:val="1A1A1A"/>
                <w:sz w:val="21"/>
                <w:szCs w:val="21"/>
              </w:rPr>
              <w:t>Deployed through Intune; managed via separate ABR portal</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D9E980C" w14:textId="77777777" w:rsidR="00A17E96" w:rsidRDefault="00000000">
            <w:r>
              <w:rPr>
                <w:color w:val="1A1A1A"/>
                <w:sz w:val="21"/>
                <w:szCs w:val="21"/>
              </w:rPr>
              <w:t>Fully native; all configuration within Intune admin center</w:t>
            </w:r>
          </w:p>
        </w:tc>
        <w:tc>
          <w:tcPr>
            <w:tcW w:w="1626" w:type="dxa"/>
            <w:tcBorders>
              <w:top w:val="single" w:sz="4" w:space="0" w:color="D9D9D9"/>
              <w:left w:val="single" w:sz="4" w:space="0" w:color="D9D9D9"/>
              <w:bottom w:val="single" w:sz="4" w:space="0" w:color="D9D9D9"/>
              <w:right w:val="single" w:sz="4" w:space="0" w:color="D9D9D9"/>
            </w:tcBorders>
            <w:shd w:val="clear" w:color="auto" w:fill="DFF0D8"/>
            <w:tcMar>
              <w:top w:w="80" w:type="dxa"/>
              <w:left w:w="120" w:type="dxa"/>
              <w:bottom w:w="80" w:type="dxa"/>
              <w:right w:w="120" w:type="dxa"/>
            </w:tcMar>
            <w:vAlign w:val="center"/>
          </w:tcPr>
          <w:p w14:paraId="683BCA44" w14:textId="77777777" w:rsidR="00A17E96" w:rsidRDefault="00000000">
            <w:r>
              <w:rPr>
                <w:b/>
                <w:bCs/>
                <w:color w:val="1A1A1A"/>
                <w:sz w:val="21"/>
                <w:szCs w:val="21"/>
              </w:rPr>
              <w:t>EPM</w:t>
            </w:r>
          </w:p>
        </w:tc>
      </w:tr>
      <w:tr w:rsidR="00A17E96" w14:paraId="2F248224" w14:textId="77777777">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1C4A301" w14:textId="77777777" w:rsidR="00A17E96" w:rsidRDefault="00000000">
            <w:r>
              <w:rPr>
                <w:b/>
                <w:bCs/>
                <w:color w:val="1A1A1A"/>
                <w:sz w:val="21"/>
                <w:szCs w:val="21"/>
              </w:rPr>
              <w:t>Local admin inventory</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FAE14A9" w14:textId="77777777" w:rsidR="00A17E96" w:rsidRDefault="00000000">
            <w:r>
              <w:rPr>
                <w:color w:val="1A1A1A"/>
                <w:sz w:val="21"/>
                <w:szCs w:val="21"/>
              </w:rPr>
              <w:t>Real-time inventory with remote revocation capability</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45B732F" w14:textId="77777777" w:rsidR="00A17E96" w:rsidRDefault="00000000">
            <w:r>
              <w:rPr>
                <w:color w:val="1A1A1A"/>
                <w:sz w:val="21"/>
                <w:szCs w:val="21"/>
              </w:rPr>
              <w:t>Not provided as a standalone feature</w:t>
            </w:r>
          </w:p>
        </w:tc>
        <w:tc>
          <w:tcPr>
            <w:tcW w:w="1626" w:type="dxa"/>
            <w:tcBorders>
              <w:top w:val="single" w:sz="4" w:space="0" w:color="D9D9D9"/>
              <w:left w:val="single" w:sz="4" w:space="0" w:color="D9D9D9"/>
              <w:bottom w:val="single" w:sz="4" w:space="0" w:color="D9D9D9"/>
              <w:right w:val="single" w:sz="4" w:space="0" w:color="D9D9D9"/>
            </w:tcBorders>
            <w:shd w:val="clear" w:color="auto" w:fill="DBEEF4"/>
            <w:tcMar>
              <w:top w:w="80" w:type="dxa"/>
              <w:left w:w="120" w:type="dxa"/>
              <w:bottom w:w="80" w:type="dxa"/>
              <w:right w:w="120" w:type="dxa"/>
            </w:tcMar>
            <w:vAlign w:val="center"/>
          </w:tcPr>
          <w:p w14:paraId="135E991C" w14:textId="77777777" w:rsidR="00A17E96" w:rsidRDefault="00000000">
            <w:r>
              <w:rPr>
                <w:b/>
                <w:bCs/>
                <w:color w:val="1A1A1A"/>
                <w:sz w:val="21"/>
                <w:szCs w:val="21"/>
              </w:rPr>
              <w:t>ABR</w:t>
            </w:r>
          </w:p>
        </w:tc>
      </w:tr>
      <w:tr w:rsidR="00A17E96" w14:paraId="16F98B55" w14:textId="77777777">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6A1770C" w14:textId="77777777" w:rsidR="00A17E96" w:rsidRDefault="00000000">
            <w:r>
              <w:rPr>
                <w:b/>
                <w:bCs/>
                <w:color w:val="1A1A1A"/>
                <w:sz w:val="21"/>
                <w:szCs w:val="21"/>
              </w:rPr>
              <w:t>Ideal use cases</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B60C447" w14:textId="77777777" w:rsidR="00A17E96" w:rsidRDefault="00000000">
            <w:r>
              <w:rPr>
                <w:color w:val="1A1A1A"/>
                <w:sz w:val="21"/>
                <w:szCs w:val="21"/>
              </w:rPr>
              <w:t>Factory, engineering, mixed-connectivity, multi-platform environments</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A56A51E" w14:textId="77777777" w:rsidR="00A17E96" w:rsidRDefault="00000000">
            <w:r>
              <w:rPr>
                <w:color w:val="1A1A1A"/>
                <w:sz w:val="21"/>
                <w:szCs w:val="21"/>
              </w:rPr>
              <w:t>Corporate office, cloud-only, permanently connected Windows devices</w:t>
            </w:r>
          </w:p>
        </w:tc>
        <w:tc>
          <w:tcPr>
            <w:tcW w:w="1626" w:type="dxa"/>
            <w:tcBorders>
              <w:top w:val="single" w:sz="4" w:space="0" w:color="D9D9D9"/>
              <w:left w:val="single" w:sz="4" w:space="0" w:color="D9D9D9"/>
              <w:bottom w:val="single" w:sz="4" w:space="0" w:color="D9D9D9"/>
              <w:right w:val="single" w:sz="4" w:space="0" w:color="D9D9D9"/>
            </w:tcBorders>
            <w:shd w:val="clear" w:color="auto" w:fill="F5F5F5"/>
            <w:tcMar>
              <w:top w:w="80" w:type="dxa"/>
              <w:left w:w="120" w:type="dxa"/>
              <w:bottom w:w="80" w:type="dxa"/>
              <w:right w:w="120" w:type="dxa"/>
            </w:tcMar>
            <w:vAlign w:val="center"/>
          </w:tcPr>
          <w:p w14:paraId="19095B20" w14:textId="77777777" w:rsidR="00A17E96" w:rsidRDefault="00000000">
            <w:r>
              <w:rPr>
                <w:b/>
                <w:bCs/>
                <w:color w:val="1A1A1A"/>
                <w:sz w:val="21"/>
                <w:szCs w:val="21"/>
              </w:rPr>
              <w:t>Context-dependent</w:t>
            </w:r>
          </w:p>
        </w:tc>
      </w:tr>
      <w:tr w:rsidR="00A17E96" w14:paraId="1FA3EF8A" w14:textId="77777777">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E62F1E6" w14:textId="77777777" w:rsidR="00A17E96" w:rsidRDefault="00000000">
            <w:r>
              <w:rPr>
                <w:b/>
                <w:bCs/>
                <w:color w:val="1A1A1A"/>
                <w:sz w:val="21"/>
                <w:szCs w:val="21"/>
              </w:rPr>
              <w:t>Licensing</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4E70356" w14:textId="77777777" w:rsidR="00A17E96" w:rsidRDefault="00000000">
            <w:r>
              <w:rPr>
                <w:color w:val="1A1A1A"/>
                <w:sz w:val="21"/>
                <w:szCs w:val="21"/>
              </w:rPr>
              <w:t>Separate per-user pricing through ABR</w:t>
            </w:r>
          </w:p>
        </w:tc>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D77BA9C" w14:textId="77777777" w:rsidR="00A17E96" w:rsidRDefault="00000000">
            <w:r>
              <w:rPr>
                <w:color w:val="1A1A1A"/>
                <w:sz w:val="21"/>
                <w:szCs w:val="21"/>
              </w:rPr>
              <w:t>Included in Intune Suite or Microsoft 365 E5 add-on</w:t>
            </w:r>
          </w:p>
        </w:tc>
        <w:tc>
          <w:tcPr>
            <w:tcW w:w="1626" w:type="dxa"/>
            <w:tcBorders>
              <w:top w:val="single" w:sz="4" w:space="0" w:color="D9D9D9"/>
              <w:left w:val="single" w:sz="4" w:space="0" w:color="D9D9D9"/>
              <w:bottom w:val="single" w:sz="4" w:space="0" w:color="D9D9D9"/>
              <w:right w:val="single" w:sz="4" w:space="0" w:color="D9D9D9"/>
            </w:tcBorders>
            <w:shd w:val="clear" w:color="auto" w:fill="F5F5F5"/>
            <w:tcMar>
              <w:top w:w="80" w:type="dxa"/>
              <w:left w:w="120" w:type="dxa"/>
              <w:bottom w:w="80" w:type="dxa"/>
              <w:right w:w="120" w:type="dxa"/>
            </w:tcMar>
            <w:vAlign w:val="center"/>
          </w:tcPr>
          <w:p w14:paraId="153EA746" w14:textId="77777777" w:rsidR="00A17E96" w:rsidRDefault="00000000">
            <w:r>
              <w:rPr>
                <w:b/>
                <w:bCs/>
                <w:color w:val="1A1A1A"/>
                <w:sz w:val="21"/>
                <w:szCs w:val="21"/>
              </w:rPr>
              <w:t>Context-dependent</w:t>
            </w:r>
          </w:p>
        </w:tc>
      </w:tr>
    </w:tbl>
    <w:p w14:paraId="6F294311" w14:textId="77777777" w:rsidR="00A17E96" w:rsidRDefault="00000000">
      <w:pPr>
        <w:spacing w:before="60" w:after="240"/>
        <w:jc w:val="center"/>
      </w:pPr>
      <w:r>
        <w:rPr>
          <w:i/>
          <w:iCs/>
          <w:color w:val="595959"/>
          <w:sz w:val="20"/>
          <w:szCs w:val="20"/>
        </w:rPr>
        <w:t>Table 1: Feature comparison matrix — Admin By Request vs Microsoft Endpoint Privilege Management</w:t>
      </w:r>
    </w:p>
    <w:p w14:paraId="1CFEDD63" w14:textId="77777777" w:rsidR="00A17E96" w:rsidRDefault="00000000">
      <w:r>
        <w:br w:type="page"/>
      </w:r>
    </w:p>
    <w:p w14:paraId="787FDC54" w14:textId="77777777" w:rsidR="00A17E96" w:rsidRDefault="00000000">
      <w:pPr>
        <w:pStyle w:val="Heading1"/>
      </w:pPr>
      <w:bookmarkStart w:id="3" w:name="_Toc229554758"/>
      <w:r>
        <w:lastRenderedPageBreak/>
        <w:t>3. Use Case Evaluation for Soudal</w:t>
      </w:r>
      <w:bookmarkEnd w:id="3"/>
    </w:p>
    <w:p w14:paraId="5C3479A6" w14:textId="77777777" w:rsidR="00A17E96" w:rsidRDefault="00000000">
      <w:pPr>
        <w:spacing w:after="120" w:line="300" w:lineRule="auto"/>
      </w:pPr>
      <w:r>
        <w:rPr>
          <w:color w:val="1A1A1A"/>
        </w:rPr>
        <w:t>This section evaluates each tool against the five operational use cases identified during the analysis phase of the project. The use cases represent the real-world scenarios that any privilege elevation solution must support within Soudal's environment.</w:t>
      </w:r>
    </w:p>
    <w:p w14:paraId="642BCE50" w14:textId="77777777" w:rsidR="00A17E96" w:rsidRDefault="00000000">
      <w:pPr>
        <w:pStyle w:val="Heading2"/>
      </w:pPr>
      <w:bookmarkStart w:id="4" w:name="_Toc229554759"/>
      <w:r>
        <w:t>3.1 Engineering and Factory Floor Elevation</w:t>
      </w:r>
      <w:bookmarkEnd w:id="4"/>
    </w:p>
    <w:p w14:paraId="7F96BA4F" w14:textId="77777777" w:rsidR="00A17E96" w:rsidRDefault="00000000">
      <w:pPr>
        <w:spacing w:after="120" w:line="300" w:lineRule="auto"/>
      </w:pPr>
      <w:r>
        <w:rPr>
          <w:color w:val="1A1A1A"/>
        </w:rPr>
        <w:t>This is the most decisive use case in the comparison. Engineering staff at Soudal operate in factory environments where network connectivity to the corporate infrastructure is not guaranteed. Privilege elevation must function reliably in disconnected or intermittently connected conditions.</w:t>
      </w:r>
    </w:p>
    <w:p w14:paraId="54767471" w14:textId="77777777" w:rsidR="00A17E96" w:rsidRDefault="00000000">
      <w:pPr>
        <w:spacing w:after="120" w:line="300" w:lineRule="auto"/>
      </w:pPr>
      <w:r>
        <w:rPr>
          <w:color w:val="1A1A1A"/>
        </w:rPr>
        <w:t>ABR's Offline PIN mechanism was tested and confirmed working during ABR Test 4 (Chapter 3 of the realization report). A user was able to request and receive a time-limited PIN through an out-of-band channel, enter it on the disconnected device, and elevate privileges without any network dependency. The elevation event was logged locally and synchronized to the ABR cloud portal on reconnection. EPM's offline behavior was tested in EPM Test 15 (Chapter 4). EPM requires connectivity for policy evaluation in most operational scenarios, which limits its effectiveness in factory and engineering contexts.</w:t>
      </w:r>
    </w:p>
    <w:p w14:paraId="5F5DE3BF" w14:textId="77777777" w:rsidR="00A17E96" w:rsidRDefault="00000000">
      <w:pPr>
        <w:spacing w:after="120" w:line="300" w:lineRule="auto"/>
      </w:pPr>
      <w:r>
        <w:rPr>
          <w:b/>
          <w:bCs/>
          <w:color w:val="1A1A1A"/>
        </w:rPr>
        <w:t xml:space="preserve">Result: </w:t>
      </w:r>
      <w:r>
        <w:rPr>
          <w:color w:val="1A1A1A"/>
        </w:rPr>
        <w:t>ABR is the only viable option for this use case.</w:t>
      </w:r>
    </w:p>
    <w:p w14:paraId="2FF70847" w14:textId="77777777" w:rsidR="00A17E96" w:rsidRDefault="00000000">
      <w:pPr>
        <w:pStyle w:val="Heading2"/>
      </w:pPr>
      <w:bookmarkStart w:id="5" w:name="_Toc229554760"/>
      <w:r>
        <w:t>3.2 Service Desk Support</w:t>
      </w:r>
      <w:bookmarkEnd w:id="5"/>
    </w:p>
    <w:p w14:paraId="3305693B" w14:textId="77777777" w:rsidR="00A17E96" w:rsidRDefault="00000000">
      <w:pPr>
        <w:spacing w:after="120" w:line="300" w:lineRule="auto"/>
      </w:pPr>
      <w:r>
        <w:rPr>
          <w:color w:val="1A1A1A"/>
        </w:rPr>
        <w:t>Service Desk staff perform a wide variety of administrative tasks across multiple tools during a support session. The elevation model must accommodate frequent, varied administrative actions within a defined time window.</w:t>
      </w:r>
    </w:p>
    <w:p w14:paraId="71A2C350" w14:textId="77777777" w:rsidR="00A17E96" w:rsidRDefault="00000000">
      <w:pPr>
        <w:spacing w:after="120" w:line="300" w:lineRule="auto"/>
      </w:pPr>
      <w:r>
        <w:rPr>
          <w:color w:val="1A1A1A"/>
        </w:rPr>
        <w:t>ABR's Admin Session model is well suited to this workflow. It grants temporary full administrator access for a defined period, matching the reality of a support session where many tools and actions are needed. EPM's rule-based model requires a separate elevation rule for each approved application, which creates administrative overhead and may not scale cleanly to the variety of tools Service Desk staff use.</w:t>
      </w:r>
    </w:p>
    <w:p w14:paraId="0C2BCDD3" w14:textId="77777777" w:rsidR="00A17E96" w:rsidRDefault="00000000">
      <w:pPr>
        <w:spacing w:after="120" w:line="300" w:lineRule="auto"/>
      </w:pPr>
      <w:r>
        <w:rPr>
          <w:b/>
          <w:bCs/>
          <w:color w:val="1A1A1A"/>
        </w:rPr>
        <w:t xml:space="preserve">Result: </w:t>
      </w:r>
      <w:r>
        <w:rPr>
          <w:color w:val="1A1A1A"/>
        </w:rPr>
        <w:t>ABR is better suited; EPM is functional but less flexible.</w:t>
      </w:r>
    </w:p>
    <w:p w14:paraId="0783D193" w14:textId="77777777" w:rsidR="00A17E96" w:rsidRDefault="00000000">
      <w:pPr>
        <w:pStyle w:val="Heading2"/>
      </w:pPr>
      <w:bookmarkStart w:id="6" w:name="_Toc229554761"/>
      <w:r>
        <w:t>3.3 Application Installation</w:t>
      </w:r>
      <w:bookmarkEnd w:id="6"/>
    </w:p>
    <w:p w14:paraId="670BB789" w14:textId="77777777" w:rsidR="00A17E96" w:rsidRDefault="00000000">
      <w:pPr>
        <w:spacing w:after="120" w:line="300" w:lineRule="auto"/>
      </w:pPr>
      <w:r>
        <w:rPr>
          <w:color w:val="1A1A1A"/>
        </w:rPr>
        <w:t>Standard users occasionally need to install approved applications that require administrator privileges during the installation process.</w:t>
      </w:r>
    </w:p>
    <w:p w14:paraId="478CF962" w14:textId="77777777" w:rsidR="00A17E96" w:rsidRDefault="00000000">
      <w:pPr>
        <w:spacing w:after="120" w:line="300" w:lineRule="auto"/>
      </w:pPr>
      <w:r>
        <w:rPr>
          <w:color w:val="1A1A1A"/>
        </w:rPr>
        <w:t>Both tools handle this use case effectively. EPM's rule-based approach is precise: elevation is granted for a specific installer binary, and nothing else. ABR's pre-approved rules deliver equivalent functionality with comparable granularity. Both tools were tested successfully for this scenario during laboratory testing.</w:t>
      </w:r>
    </w:p>
    <w:p w14:paraId="0647ECB0" w14:textId="77777777" w:rsidR="00A17E96" w:rsidRDefault="00000000">
      <w:pPr>
        <w:spacing w:after="120" w:line="300" w:lineRule="auto"/>
        <w:rPr>
          <w:color w:val="1A1A1A"/>
          <w:lang w:val="en-US"/>
        </w:rPr>
      </w:pPr>
      <w:r>
        <w:rPr>
          <w:b/>
          <w:bCs/>
          <w:color w:val="1A1A1A"/>
        </w:rPr>
        <w:t xml:space="preserve">Result: </w:t>
      </w:r>
      <w:r>
        <w:rPr>
          <w:color w:val="1A1A1A"/>
        </w:rPr>
        <w:t>Tie. Both tools perform equally well.</w:t>
      </w:r>
    </w:p>
    <w:p w14:paraId="3F730C14" w14:textId="77777777" w:rsidR="00BD7639" w:rsidRPr="00BD7639" w:rsidRDefault="00BD7639">
      <w:pPr>
        <w:spacing w:after="120" w:line="300" w:lineRule="auto"/>
        <w:rPr>
          <w:lang w:val="en-US"/>
        </w:rPr>
      </w:pPr>
    </w:p>
    <w:p w14:paraId="104FC560" w14:textId="77777777" w:rsidR="00A17E96" w:rsidRDefault="00000000">
      <w:pPr>
        <w:pStyle w:val="Heading2"/>
      </w:pPr>
      <w:bookmarkStart w:id="7" w:name="_Toc229554762"/>
      <w:r>
        <w:lastRenderedPageBreak/>
        <w:t>3.4 Permission Revocation</w:t>
      </w:r>
      <w:bookmarkEnd w:id="7"/>
    </w:p>
    <w:p w14:paraId="5F53B882" w14:textId="77777777" w:rsidR="00A17E96" w:rsidRDefault="00000000">
      <w:pPr>
        <w:spacing w:after="120" w:line="300" w:lineRule="auto"/>
      </w:pPr>
      <w:r>
        <w:rPr>
          <w:color w:val="1A1A1A"/>
        </w:rPr>
        <w:t>The deployment plan for this project includes a phase where existing permanent local administrator rights are identified and removed across the device fleet. The selected tool must support visibility into current privilege state and the ability to revoke rights remotely.</w:t>
      </w:r>
    </w:p>
    <w:p w14:paraId="29DA3BC1" w14:textId="77777777" w:rsidR="00A17E96" w:rsidRDefault="00000000">
      <w:pPr>
        <w:spacing w:after="120" w:line="300" w:lineRule="auto"/>
      </w:pPr>
      <w:r>
        <w:rPr>
          <w:color w:val="1A1A1A"/>
        </w:rPr>
        <w:t>ABR provides a built-in local administrator inventory and remote revocation feature, tested and confirmed during ABR Test 6 (Chapter 3). This capability is essential for the permission revocation phase. EPM does not provide local administrator inventory or remote revocation as a standalone feature, which means additional tooling or manual processes would be required.</w:t>
      </w:r>
    </w:p>
    <w:p w14:paraId="34331D80" w14:textId="77777777" w:rsidR="00A17E96" w:rsidRDefault="00000000">
      <w:pPr>
        <w:spacing w:after="120" w:line="300" w:lineRule="auto"/>
      </w:pPr>
      <w:r>
        <w:rPr>
          <w:b/>
          <w:bCs/>
          <w:color w:val="1A1A1A"/>
        </w:rPr>
        <w:t xml:space="preserve">Result: </w:t>
      </w:r>
      <w:r>
        <w:rPr>
          <w:color w:val="1A1A1A"/>
        </w:rPr>
        <w:t>ABR has a clear advantage.</w:t>
      </w:r>
    </w:p>
    <w:p w14:paraId="27FF8ECB" w14:textId="77777777" w:rsidR="00A17E96" w:rsidRDefault="00000000">
      <w:pPr>
        <w:pStyle w:val="Heading2"/>
      </w:pPr>
      <w:bookmarkStart w:id="8" w:name="_Toc229554763"/>
      <w:r>
        <w:t>3.5 Compliance and Audit</w:t>
      </w:r>
      <w:bookmarkEnd w:id="8"/>
    </w:p>
    <w:p w14:paraId="1215CCAD" w14:textId="77777777" w:rsidR="00A17E96" w:rsidRDefault="00000000">
      <w:pPr>
        <w:spacing w:after="120" w:line="300" w:lineRule="auto"/>
      </w:pPr>
      <w:r>
        <w:rPr>
          <w:color w:val="1A1A1A"/>
        </w:rPr>
        <w:t>Both tools must generate sufficient audit data to satisfy Soudal's compliance obligations under ISO 27001 and GDPR. Elevation events must be logged with timestamp, user identity, device identity, action requested, and outcome.</w:t>
      </w:r>
    </w:p>
    <w:p w14:paraId="6959D4E6" w14:textId="77777777" w:rsidR="00A17E96" w:rsidRDefault="00000000">
      <w:pPr>
        <w:spacing w:after="120" w:line="300" w:lineRule="auto"/>
      </w:pPr>
      <w:r>
        <w:rPr>
          <w:color w:val="1A1A1A"/>
        </w:rPr>
        <w:t>Both tools provide comprehensive audit logging. ABR's cloud portal offers detailed filtering and export capabilities for audit review. EPM's integration into Intune means that elevation data is co-located with device compliance and configuration data, which some compliance teams may find more convenient for centralized reporting.</w:t>
      </w:r>
    </w:p>
    <w:p w14:paraId="36496368" w14:textId="77777777" w:rsidR="00A17E96" w:rsidRDefault="00000000">
      <w:pPr>
        <w:spacing w:after="120" w:line="300" w:lineRule="auto"/>
      </w:pPr>
      <w:r>
        <w:rPr>
          <w:b/>
          <w:bCs/>
          <w:color w:val="1A1A1A"/>
        </w:rPr>
        <w:t xml:space="preserve">Result: </w:t>
      </w:r>
      <w:r>
        <w:rPr>
          <w:color w:val="1A1A1A"/>
        </w:rPr>
        <w:t>Tie. Both tools meet compliance requirements.</w:t>
      </w:r>
    </w:p>
    <w:p w14:paraId="38775D2E" w14:textId="77777777" w:rsidR="00A17E96" w:rsidRDefault="00000000">
      <w:pPr>
        <w:pStyle w:val="Heading2"/>
      </w:pPr>
      <w:bookmarkStart w:id="9" w:name="_Toc229554764"/>
      <w:r>
        <w:t>3.6 Use Case Summary</w:t>
      </w:r>
      <w:bookmarkEnd w:id="9"/>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2400"/>
        <w:gridCol w:w="2400"/>
        <w:gridCol w:w="1426"/>
      </w:tblGrid>
      <w:tr w:rsidR="00A17E96" w14:paraId="4FFFCBFE" w14:textId="77777777">
        <w:trPr>
          <w:tblHeader/>
        </w:trPr>
        <w:tc>
          <w:tcPr>
            <w:tcW w:w="28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563E83BA" w14:textId="77777777" w:rsidR="00A17E96" w:rsidRDefault="00000000">
            <w:r>
              <w:rPr>
                <w:b/>
                <w:bCs/>
                <w:color w:val="1A1A1A"/>
                <w:sz w:val="21"/>
                <w:szCs w:val="21"/>
              </w:rPr>
              <w:t>Use Case</w:t>
            </w:r>
          </w:p>
        </w:tc>
        <w:tc>
          <w:tcPr>
            <w:tcW w:w="24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3750647E" w14:textId="77777777" w:rsidR="00A17E96" w:rsidRDefault="00000000">
            <w:r>
              <w:rPr>
                <w:b/>
                <w:bCs/>
                <w:color w:val="1A1A1A"/>
                <w:sz w:val="21"/>
                <w:szCs w:val="21"/>
              </w:rPr>
              <w:t>ABR</w:t>
            </w:r>
          </w:p>
        </w:tc>
        <w:tc>
          <w:tcPr>
            <w:tcW w:w="24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222BFB29" w14:textId="77777777" w:rsidR="00A17E96" w:rsidRDefault="00000000">
            <w:r>
              <w:rPr>
                <w:b/>
                <w:bCs/>
                <w:color w:val="1A1A1A"/>
                <w:sz w:val="21"/>
                <w:szCs w:val="21"/>
              </w:rPr>
              <w:t>EPM</w:t>
            </w:r>
          </w:p>
        </w:tc>
        <w:tc>
          <w:tcPr>
            <w:tcW w:w="1426"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0C4F0F04" w14:textId="77777777" w:rsidR="00A17E96" w:rsidRDefault="00000000">
            <w:r>
              <w:rPr>
                <w:b/>
                <w:bCs/>
                <w:color w:val="1A1A1A"/>
                <w:sz w:val="21"/>
                <w:szCs w:val="21"/>
              </w:rPr>
              <w:t>Winner</w:t>
            </w:r>
          </w:p>
        </w:tc>
      </w:tr>
      <w:tr w:rsidR="00A17E96" w14:paraId="28278048" w14:textId="77777777">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341AA50" w14:textId="77777777" w:rsidR="00A17E96" w:rsidRDefault="00000000">
            <w:r>
              <w:rPr>
                <w:color w:val="1A1A1A"/>
                <w:sz w:val="21"/>
                <w:szCs w:val="21"/>
              </w:rPr>
              <w:t>Engineering / Factory floor</w:t>
            </w:r>
          </w:p>
        </w:tc>
        <w:tc>
          <w:tcPr>
            <w:tcW w:w="24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92F8D24" w14:textId="77777777" w:rsidR="00A17E96" w:rsidRDefault="00000000">
            <w:r>
              <w:rPr>
                <w:color w:val="1A1A1A"/>
                <w:sz w:val="21"/>
                <w:szCs w:val="21"/>
              </w:rPr>
              <w:t>Full offline support via PIN</w:t>
            </w:r>
          </w:p>
        </w:tc>
        <w:tc>
          <w:tcPr>
            <w:tcW w:w="24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0465BE5" w14:textId="77777777" w:rsidR="00A17E96" w:rsidRDefault="00000000">
            <w:r>
              <w:rPr>
                <w:color w:val="1A1A1A"/>
                <w:sz w:val="21"/>
                <w:szCs w:val="21"/>
              </w:rPr>
              <w:t>Limited offline capability</w:t>
            </w:r>
          </w:p>
        </w:tc>
        <w:tc>
          <w:tcPr>
            <w:tcW w:w="1426" w:type="dxa"/>
            <w:tcBorders>
              <w:top w:val="single" w:sz="4" w:space="0" w:color="D9D9D9"/>
              <w:left w:val="single" w:sz="4" w:space="0" w:color="D9D9D9"/>
              <w:bottom w:val="single" w:sz="4" w:space="0" w:color="D9D9D9"/>
              <w:right w:val="single" w:sz="4" w:space="0" w:color="D9D9D9"/>
            </w:tcBorders>
            <w:shd w:val="clear" w:color="auto" w:fill="DBEEF4"/>
            <w:tcMar>
              <w:top w:w="80" w:type="dxa"/>
              <w:left w:w="120" w:type="dxa"/>
              <w:bottom w:w="80" w:type="dxa"/>
              <w:right w:w="120" w:type="dxa"/>
            </w:tcMar>
            <w:vAlign w:val="center"/>
          </w:tcPr>
          <w:p w14:paraId="46403469" w14:textId="77777777" w:rsidR="00A17E96" w:rsidRDefault="00000000">
            <w:r>
              <w:rPr>
                <w:b/>
                <w:bCs/>
                <w:color w:val="1A1A1A"/>
                <w:sz w:val="21"/>
                <w:szCs w:val="21"/>
              </w:rPr>
              <w:t>ABR</w:t>
            </w:r>
          </w:p>
        </w:tc>
      </w:tr>
      <w:tr w:rsidR="00A17E96" w14:paraId="2E52E772" w14:textId="77777777">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E70FF5C" w14:textId="77777777" w:rsidR="00A17E96" w:rsidRDefault="00000000">
            <w:r>
              <w:rPr>
                <w:color w:val="1A1A1A"/>
                <w:sz w:val="21"/>
                <w:szCs w:val="21"/>
              </w:rPr>
              <w:t>Service Desk support</w:t>
            </w:r>
          </w:p>
        </w:tc>
        <w:tc>
          <w:tcPr>
            <w:tcW w:w="24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0011E8D" w14:textId="77777777" w:rsidR="00A17E96" w:rsidRDefault="00000000">
            <w:r>
              <w:rPr>
                <w:color w:val="1A1A1A"/>
                <w:sz w:val="21"/>
                <w:szCs w:val="21"/>
              </w:rPr>
              <w:t>Flexible Admin Session model</w:t>
            </w:r>
          </w:p>
        </w:tc>
        <w:tc>
          <w:tcPr>
            <w:tcW w:w="24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5FDCE8D" w14:textId="77777777" w:rsidR="00A17E96" w:rsidRDefault="00000000">
            <w:r>
              <w:rPr>
                <w:color w:val="1A1A1A"/>
                <w:sz w:val="21"/>
                <w:szCs w:val="21"/>
              </w:rPr>
              <w:t>Rule-per-app, less flexible</w:t>
            </w:r>
          </w:p>
        </w:tc>
        <w:tc>
          <w:tcPr>
            <w:tcW w:w="1426" w:type="dxa"/>
            <w:tcBorders>
              <w:top w:val="single" w:sz="4" w:space="0" w:color="D9D9D9"/>
              <w:left w:val="single" w:sz="4" w:space="0" w:color="D9D9D9"/>
              <w:bottom w:val="single" w:sz="4" w:space="0" w:color="D9D9D9"/>
              <w:right w:val="single" w:sz="4" w:space="0" w:color="D9D9D9"/>
            </w:tcBorders>
            <w:shd w:val="clear" w:color="auto" w:fill="DBEEF4"/>
            <w:tcMar>
              <w:top w:w="80" w:type="dxa"/>
              <w:left w:w="120" w:type="dxa"/>
              <w:bottom w:w="80" w:type="dxa"/>
              <w:right w:w="120" w:type="dxa"/>
            </w:tcMar>
            <w:vAlign w:val="center"/>
          </w:tcPr>
          <w:p w14:paraId="54E9F46D" w14:textId="77777777" w:rsidR="00A17E96" w:rsidRDefault="00000000">
            <w:r>
              <w:rPr>
                <w:b/>
                <w:bCs/>
                <w:color w:val="1A1A1A"/>
                <w:sz w:val="21"/>
                <w:szCs w:val="21"/>
              </w:rPr>
              <w:t>ABR</w:t>
            </w:r>
          </w:p>
        </w:tc>
      </w:tr>
      <w:tr w:rsidR="00A17E96" w14:paraId="3C17BBB6" w14:textId="77777777">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D85BED4" w14:textId="77777777" w:rsidR="00A17E96" w:rsidRDefault="00000000">
            <w:r>
              <w:rPr>
                <w:color w:val="1A1A1A"/>
                <w:sz w:val="21"/>
                <w:szCs w:val="21"/>
              </w:rPr>
              <w:t>Application installation</w:t>
            </w:r>
          </w:p>
        </w:tc>
        <w:tc>
          <w:tcPr>
            <w:tcW w:w="24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EF6B09E" w14:textId="77777777" w:rsidR="00A17E96" w:rsidRDefault="00000000">
            <w:r>
              <w:rPr>
                <w:color w:val="1A1A1A"/>
                <w:sz w:val="21"/>
                <w:szCs w:val="21"/>
              </w:rPr>
              <w:t>Pre-approved rules</w:t>
            </w:r>
          </w:p>
        </w:tc>
        <w:tc>
          <w:tcPr>
            <w:tcW w:w="24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8E282ED" w14:textId="77777777" w:rsidR="00A17E96" w:rsidRDefault="00000000">
            <w:r>
              <w:rPr>
                <w:color w:val="1A1A1A"/>
                <w:sz w:val="21"/>
                <w:szCs w:val="21"/>
              </w:rPr>
              <w:t>Per-binary elevation rules</w:t>
            </w:r>
          </w:p>
        </w:tc>
        <w:tc>
          <w:tcPr>
            <w:tcW w:w="1426" w:type="dxa"/>
            <w:tcBorders>
              <w:top w:val="single" w:sz="4" w:space="0" w:color="D9D9D9"/>
              <w:left w:val="single" w:sz="4" w:space="0" w:color="D9D9D9"/>
              <w:bottom w:val="single" w:sz="4" w:space="0" w:color="D9D9D9"/>
              <w:right w:val="single" w:sz="4" w:space="0" w:color="D9D9D9"/>
            </w:tcBorders>
            <w:shd w:val="clear" w:color="auto" w:fill="F5F5F5"/>
            <w:tcMar>
              <w:top w:w="80" w:type="dxa"/>
              <w:left w:w="120" w:type="dxa"/>
              <w:bottom w:w="80" w:type="dxa"/>
              <w:right w:w="120" w:type="dxa"/>
            </w:tcMar>
            <w:vAlign w:val="center"/>
          </w:tcPr>
          <w:p w14:paraId="54C59CA8" w14:textId="77777777" w:rsidR="00A17E96" w:rsidRDefault="00000000">
            <w:r>
              <w:rPr>
                <w:b/>
                <w:bCs/>
                <w:color w:val="1A1A1A"/>
                <w:sz w:val="21"/>
                <w:szCs w:val="21"/>
              </w:rPr>
              <w:t>Tie</w:t>
            </w:r>
          </w:p>
        </w:tc>
      </w:tr>
      <w:tr w:rsidR="00A17E96" w14:paraId="66A39274" w14:textId="77777777">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589176C" w14:textId="77777777" w:rsidR="00A17E96" w:rsidRDefault="00000000">
            <w:r>
              <w:rPr>
                <w:color w:val="1A1A1A"/>
                <w:sz w:val="21"/>
                <w:szCs w:val="21"/>
              </w:rPr>
              <w:t>Permission revocation</w:t>
            </w:r>
          </w:p>
        </w:tc>
        <w:tc>
          <w:tcPr>
            <w:tcW w:w="24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7547010" w14:textId="77777777" w:rsidR="00A17E96" w:rsidRDefault="00000000">
            <w:r>
              <w:rPr>
                <w:color w:val="1A1A1A"/>
                <w:sz w:val="21"/>
                <w:szCs w:val="21"/>
              </w:rPr>
              <w:t>Built-in inventory + remote revoke</w:t>
            </w:r>
          </w:p>
        </w:tc>
        <w:tc>
          <w:tcPr>
            <w:tcW w:w="24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D5BE9F4" w14:textId="77777777" w:rsidR="00A17E96" w:rsidRDefault="00000000">
            <w:r>
              <w:rPr>
                <w:color w:val="1A1A1A"/>
                <w:sz w:val="21"/>
                <w:szCs w:val="21"/>
              </w:rPr>
              <w:t>Not available as standalone</w:t>
            </w:r>
          </w:p>
        </w:tc>
        <w:tc>
          <w:tcPr>
            <w:tcW w:w="1426" w:type="dxa"/>
            <w:tcBorders>
              <w:top w:val="single" w:sz="4" w:space="0" w:color="D9D9D9"/>
              <w:left w:val="single" w:sz="4" w:space="0" w:color="D9D9D9"/>
              <w:bottom w:val="single" w:sz="4" w:space="0" w:color="D9D9D9"/>
              <w:right w:val="single" w:sz="4" w:space="0" w:color="D9D9D9"/>
            </w:tcBorders>
            <w:shd w:val="clear" w:color="auto" w:fill="DBEEF4"/>
            <w:tcMar>
              <w:top w:w="80" w:type="dxa"/>
              <w:left w:w="120" w:type="dxa"/>
              <w:bottom w:w="80" w:type="dxa"/>
              <w:right w:w="120" w:type="dxa"/>
            </w:tcMar>
            <w:vAlign w:val="center"/>
          </w:tcPr>
          <w:p w14:paraId="7A2B352A" w14:textId="77777777" w:rsidR="00A17E96" w:rsidRDefault="00000000">
            <w:r>
              <w:rPr>
                <w:b/>
                <w:bCs/>
                <w:color w:val="1A1A1A"/>
                <w:sz w:val="21"/>
                <w:szCs w:val="21"/>
              </w:rPr>
              <w:t>ABR</w:t>
            </w:r>
          </w:p>
        </w:tc>
      </w:tr>
      <w:tr w:rsidR="00A17E96" w14:paraId="12B56622" w14:textId="77777777">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C365245" w14:textId="77777777" w:rsidR="00A17E96" w:rsidRDefault="00000000">
            <w:r>
              <w:rPr>
                <w:color w:val="1A1A1A"/>
                <w:sz w:val="21"/>
                <w:szCs w:val="21"/>
              </w:rPr>
              <w:t>Compliance and audit</w:t>
            </w:r>
          </w:p>
        </w:tc>
        <w:tc>
          <w:tcPr>
            <w:tcW w:w="24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AFEEAA6" w14:textId="77777777" w:rsidR="00A17E96" w:rsidRDefault="00000000">
            <w:r>
              <w:rPr>
                <w:color w:val="1A1A1A"/>
                <w:sz w:val="21"/>
                <w:szCs w:val="21"/>
              </w:rPr>
              <w:t>Rich cloud logs, SIEM export</w:t>
            </w:r>
          </w:p>
        </w:tc>
        <w:tc>
          <w:tcPr>
            <w:tcW w:w="24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07CA404" w14:textId="77777777" w:rsidR="00A17E96" w:rsidRDefault="00000000">
            <w:r>
              <w:rPr>
                <w:color w:val="1A1A1A"/>
                <w:sz w:val="21"/>
                <w:szCs w:val="21"/>
              </w:rPr>
              <w:t>Integrated Intune/Defender logs</w:t>
            </w:r>
          </w:p>
        </w:tc>
        <w:tc>
          <w:tcPr>
            <w:tcW w:w="1426" w:type="dxa"/>
            <w:tcBorders>
              <w:top w:val="single" w:sz="4" w:space="0" w:color="D9D9D9"/>
              <w:left w:val="single" w:sz="4" w:space="0" w:color="D9D9D9"/>
              <w:bottom w:val="single" w:sz="4" w:space="0" w:color="D9D9D9"/>
              <w:right w:val="single" w:sz="4" w:space="0" w:color="D9D9D9"/>
            </w:tcBorders>
            <w:shd w:val="clear" w:color="auto" w:fill="F5F5F5"/>
            <w:tcMar>
              <w:top w:w="80" w:type="dxa"/>
              <w:left w:w="120" w:type="dxa"/>
              <w:bottom w:w="80" w:type="dxa"/>
              <w:right w:w="120" w:type="dxa"/>
            </w:tcMar>
            <w:vAlign w:val="center"/>
          </w:tcPr>
          <w:p w14:paraId="28AD12C2" w14:textId="77777777" w:rsidR="00A17E96" w:rsidRDefault="00000000">
            <w:r>
              <w:rPr>
                <w:b/>
                <w:bCs/>
                <w:color w:val="1A1A1A"/>
                <w:sz w:val="21"/>
                <w:szCs w:val="21"/>
              </w:rPr>
              <w:t>Tie</w:t>
            </w:r>
          </w:p>
        </w:tc>
      </w:tr>
    </w:tbl>
    <w:p w14:paraId="541BEF08" w14:textId="77777777" w:rsidR="00A17E96" w:rsidRDefault="00000000">
      <w:pPr>
        <w:spacing w:before="60" w:after="240"/>
        <w:jc w:val="center"/>
      </w:pPr>
      <w:r>
        <w:rPr>
          <w:i/>
          <w:iCs/>
          <w:color w:val="595959"/>
          <w:sz w:val="20"/>
          <w:szCs w:val="20"/>
        </w:rPr>
        <w:t>Table 2: Use case evaluation summary — ABR vs EPM at Soudal</w:t>
      </w:r>
    </w:p>
    <w:p w14:paraId="4EADE716" w14:textId="77777777" w:rsidR="00A17E96" w:rsidRDefault="00000000">
      <w:r>
        <w:br w:type="page"/>
      </w:r>
    </w:p>
    <w:p w14:paraId="00872764" w14:textId="77777777" w:rsidR="00A17E96" w:rsidRDefault="00000000">
      <w:pPr>
        <w:pStyle w:val="Heading1"/>
      </w:pPr>
      <w:bookmarkStart w:id="10" w:name="_Toc229554765"/>
      <w:r>
        <w:lastRenderedPageBreak/>
        <w:t>4. Detailed Findings</w:t>
      </w:r>
      <w:bookmarkEnd w:id="10"/>
    </w:p>
    <w:p w14:paraId="5BFEC61F" w14:textId="77777777" w:rsidR="00A17E96" w:rsidRDefault="00000000">
      <w:pPr>
        <w:pStyle w:val="Heading2"/>
      </w:pPr>
      <w:bookmarkStart w:id="11" w:name="_Toc229554766"/>
      <w:r>
        <w:t>4.1 ABR Strengths</w:t>
      </w:r>
      <w:bookmarkEnd w:id="11"/>
    </w:p>
    <w:p w14:paraId="58038634" w14:textId="77777777" w:rsidR="00A17E96" w:rsidRDefault="00000000">
      <w:pPr>
        <w:pStyle w:val="ListParagraph"/>
        <w:numPr>
          <w:ilvl w:val="0"/>
          <w:numId w:val="2"/>
        </w:numPr>
        <w:spacing w:after="80" w:line="300" w:lineRule="auto"/>
      </w:pPr>
      <w:r>
        <w:rPr>
          <w:color w:val="1A1A1A"/>
        </w:rPr>
        <w:t>Offline PIN elevation provides reliable privilege escalation without network connectivity, which is essential for Soudal's factory and engineering environments.</w:t>
      </w:r>
    </w:p>
    <w:p w14:paraId="1A405042" w14:textId="77777777" w:rsidR="00A17E96" w:rsidRDefault="00000000">
      <w:pPr>
        <w:pStyle w:val="ListParagraph"/>
        <w:numPr>
          <w:ilvl w:val="0"/>
          <w:numId w:val="2"/>
        </w:numPr>
        <w:spacing w:after="80" w:line="300" w:lineRule="auto"/>
      </w:pPr>
      <w:r>
        <w:rPr>
          <w:color w:val="1A1A1A"/>
        </w:rPr>
        <w:t>The Admin Session model supports Service Desk workflows where multiple administrative actions are required within a single support interaction.</w:t>
      </w:r>
    </w:p>
    <w:p w14:paraId="3053C5E0" w14:textId="77777777" w:rsidR="00A17E96" w:rsidRDefault="00000000">
      <w:pPr>
        <w:pStyle w:val="ListParagraph"/>
        <w:numPr>
          <w:ilvl w:val="0"/>
          <w:numId w:val="2"/>
        </w:numPr>
        <w:spacing w:after="80" w:line="300" w:lineRule="auto"/>
      </w:pPr>
      <w:r>
        <w:rPr>
          <w:color w:val="1A1A1A"/>
        </w:rPr>
        <w:t>The local administrator inventory and remote revocation features directly support the permission revocation phase of the deployment plan.</w:t>
      </w:r>
    </w:p>
    <w:p w14:paraId="18DAEA4F" w14:textId="77777777" w:rsidR="00A17E96" w:rsidRDefault="00000000">
      <w:pPr>
        <w:pStyle w:val="ListParagraph"/>
        <w:numPr>
          <w:ilvl w:val="0"/>
          <w:numId w:val="2"/>
        </w:numPr>
        <w:spacing w:after="80" w:line="300" w:lineRule="auto"/>
      </w:pPr>
      <w:r>
        <w:rPr>
          <w:color w:val="1A1A1A"/>
        </w:rPr>
        <w:t>Multi-platform support (Windows, macOS, Linux) provides flexibility for potential future expansion beyond the current Windows-focused scope.</w:t>
      </w:r>
    </w:p>
    <w:p w14:paraId="215B9A90" w14:textId="77777777" w:rsidR="00A17E96" w:rsidRDefault="00000000">
      <w:pPr>
        <w:pStyle w:val="ListParagraph"/>
        <w:numPr>
          <w:ilvl w:val="0"/>
          <w:numId w:val="2"/>
        </w:numPr>
        <w:spacing w:after="80" w:line="300" w:lineRule="auto"/>
      </w:pPr>
      <w:r>
        <w:rPr>
          <w:color w:val="1A1A1A"/>
        </w:rPr>
        <w:t>The real-time approval workflow with admin notification provides an additional layer of control for high-risk elevation requests.</w:t>
      </w:r>
    </w:p>
    <w:p w14:paraId="52455330" w14:textId="77777777" w:rsidR="00A17E96" w:rsidRDefault="00000000">
      <w:pPr>
        <w:pStyle w:val="ListParagraph"/>
        <w:numPr>
          <w:ilvl w:val="0"/>
          <w:numId w:val="2"/>
        </w:numPr>
        <w:spacing w:after="80" w:line="300" w:lineRule="auto"/>
      </w:pPr>
      <w:r>
        <w:rPr>
          <w:color w:val="1A1A1A"/>
        </w:rPr>
        <w:t>SIEM export capability supports integration with centralized security monitoring.</w:t>
      </w:r>
    </w:p>
    <w:p w14:paraId="48954037" w14:textId="77777777" w:rsidR="00A17E96" w:rsidRDefault="00000000">
      <w:pPr>
        <w:pStyle w:val="Heading2"/>
      </w:pPr>
      <w:bookmarkStart w:id="12" w:name="_Toc229554767"/>
      <w:r>
        <w:t>4.2 ABR Limitations</w:t>
      </w:r>
      <w:bookmarkEnd w:id="12"/>
    </w:p>
    <w:p w14:paraId="20CD476A" w14:textId="77777777" w:rsidR="00A17E96" w:rsidRDefault="00000000">
      <w:pPr>
        <w:pStyle w:val="ListParagraph"/>
        <w:numPr>
          <w:ilvl w:val="0"/>
          <w:numId w:val="2"/>
        </w:numPr>
        <w:spacing w:after="80" w:line="300" w:lineRule="auto"/>
      </w:pPr>
      <w:r>
        <w:rPr>
          <w:color w:val="1A1A1A"/>
        </w:rPr>
        <w:t>ABR operates through a separate cloud portal, introducing a second management surface alongside the Intune admin center.</w:t>
      </w:r>
    </w:p>
    <w:p w14:paraId="7E396148" w14:textId="77777777" w:rsidR="00A17E96" w:rsidRDefault="00000000">
      <w:pPr>
        <w:pStyle w:val="ListParagraph"/>
        <w:numPr>
          <w:ilvl w:val="0"/>
          <w:numId w:val="2"/>
        </w:numPr>
        <w:spacing w:after="80" w:line="300" w:lineRule="auto"/>
      </w:pPr>
      <w:r>
        <w:rPr>
          <w:color w:val="1A1A1A"/>
        </w:rPr>
        <w:t>The ABR agent is deployed as an independent application through Intune, requiring its own update and maintenance cycle.</w:t>
      </w:r>
    </w:p>
    <w:p w14:paraId="7A55F4B3" w14:textId="77777777" w:rsidR="00A17E96" w:rsidRDefault="00000000">
      <w:pPr>
        <w:pStyle w:val="ListParagraph"/>
        <w:numPr>
          <w:ilvl w:val="0"/>
          <w:numId w:val="2"/>
        </w:numPr>
        <w:spacing w:after="80" w:line="300" w:lineRule="auto"/>
      </w:pPr>
      <w:r>
        <w:rPr>
          <w:color w:val="1A1A1A"/>
        </w:rPr>
        <w:t>Separate licensing introduces an additional cost line that must be managed alongside existing Microsoft licensing.</w:t>
      </w:r>
    </w:p>
    <w:p w14:paraId="4E996672" w14:textId="77777777" w:rsidR="00A17E96" w:rsidRDefault="00000000">
      <w:pPr>
        <w:pStyle w:val="Heading2"/>
      </w:pPr>
      <w:bookmarkStart w:id="13" w:name="_Toc229554768"/>
      <w:r>
        <w:t>4.3 EPM Strengths</w:t>
      </w:r>
      <w:bookmarkEnd w:id="13"/>
    </w:p>
    <w:p w14:paraId="6DFC0126" w14:textId="77777777" w:rsidR="00A17E96" w:rsidRDefault="00000000">
      <w:pPr>
        <w:pStyle w:val="ListParagraph"/>
        <w:numPr>
          <w:ilvl w:val="0"/>
          <w:numId w:val="2"/>
        </w:numPr>
        <w:spacing w:after="80" w:line="300" w:lineRule="auto"/>
      </w:pPr>
      <w:r>
        <w:rPr>
          <w:color w:val="1A1A1A"/>
        </w:rPr>
        <w:t>Native integration with Microsoft Intune eliminates the need for a second management portal or vendor relationship.</w:t>
      </w:r>
    </w:p>
    <w:p w14:paraId="77C4F18F" w14:textId="77777777" w:rsidR="00A17E96" w:rsidRDefault="00000000">
      <w:pPr>
        <w:pStyle w:val="ListParagraph"/>
        <w:numPr>
          <w:ilvl w:val="0"/>
          <w:numId w:val="2"/>
        </w:numPr>
        <w:spacing w:after="80" w:line="300" w:lineRule="auto"/>
      </w:pPr>
      <w:r>
        <w:rPr>
          <w:color w:val="1A1A1A"/>
        </w:rPr>
        <w:t>All configuration, policy assignment, and reporting exist within the Intune admin center, reducing operational complexity for the IT team.</w:t>
      </w:r>
    </w:p>
    <w:p w14:paraId="5973E45F" w14:textId="77777777" w:rsidR="00A17E96" w:rsidRDefault="00000000">
      <w:pPr>
        <w:pStyle w:val="ListParagraph"/>
        <w:numPr>
          <w:ilvl w:val="0"/>
          <w:numId w:val="2"/>
        </w:numPr>
        <w:spacing w:after="80" w:line="300" w:lineRule="auto"/>
      </w:pPr>
      <w:r>
        <w:rPr>
          <w:color w:val="1A1A1A"/>
        </w:rPr>
        <w:t>Virtual elevation accounts at the kernel level provide precise, per-application privilege escalation without adding the user to the local Administrators group.</w:t>
      </w:r>
    </w:p>
    <w:p w14:paraId="4E0D003B" w14:textId="77777777" w:rsidR="00A17E96" w:rsidRPr="00BD7639" w:rsidRDefault="00000000">
      <w:pPr>
        <w:pStyle w:val="ListParagraph"/>
        <w:numPr>
          <w:ilvl w:val="0"/>
          <w:numId w:val="2"/>
        </w:numPr>
        <w:spacing w:after="80" w:line="300" w:lineRule="auto"/>
      </w:pPr>
      <w:r>
        <w:rPr>
          <w:color w:val="1A1A1A"/>
        </w:rPr>
        <w:t>Licensing is bundled with the Intune Suite or Microsoft 365 E5, which Soudal may already hold or plan to adopt.</w:t>
      </w:r>
    </w:p>
    <w:p w14:paraId="00FC6A2E" w14:textId="77777777" w:rsidR="00BD7639" w:rsidRDefault="00BD7639" w:rsidP="00BD7639">
      <w:pPr>
        <w:spacing w:after="80" w:line="300" w:lineRule="auto"/>
        <w:rPr>
          <w:lang w:val="en-US"/>
        </w:rPr>
      </w:pPr>
    </w:p>
    <w:p w14:paraId="27DA3AA5" w14:textId="77777777" w:rsidR="00BD7639" w:rsidRDefault="00BD7639" w:rsidP="00BD7639">
      <w:pPr>
        <w:spacing w:after="80" w:line="300" w:lineRule="auto"/>
        <w:rPr>
          <w:lang w:val="en-US"/>
        </w:rPr>
      </w:pPr>
    </w:p>
    <w:p w14:paraId="0D9542E7" w14:textId="77777777" w:rsidR="00BD7639" w:rsidRDefault="00BD7639" w:rsidP="00BD7639">
      <w:pPr>
        <w:spacing w:after="80" w:line="300" w:lineRule="auto"/>
        <w:rPr>
          <w:lang w:val="en-US"/>
        </w:rPr>
      </w:pPr>
    </w:p>
    <w:p w14:paraId="76482C5A" w14:textId="77777777" w:rsidR="00BD7639" w:rsidRDefault="00BD7639" w:rsidP="00BD7639">
      <w:pPr>
        <w:spacing w:after="80" w:line="300" w:lineRule="auto"/>
        <w:rPr>
          <w:lang w:val="en-US"/>
        </w:rPr>
      </w:pPr>
    </w:p>
    <w:p w14:paraId="054F661F" w14:textId="77777777" w:rsidR="00BD7639" w:rsidRPr="00BD7639" w:rsidRDefault="00BD7639" w:rsidP="00BD7639">
      <w:pPr>
        <w:spacing w:after="80" w:line="300" w:lineRule="auto"/>
        <w:rPr>
          <w:lang w:val="en-US"/>
        </w:rPr>
      </w:pPr>
    </w:p>
    <w:p w14:paraId="63CEAA9A" w14:textId="77777777" w:rsidR="00A17E96" w:rsidRDefault="00000000">
      <w:pPr>
        <w:pStyle w:val="Heading2"/>
      </w:pPr>
      <w:bookmarkStart w:id="14" w:name="_Toc229554769"/>
      <w:r>
        <w:lastRenderedPageBreak/>
        <w:t>4.4 EPM Limitations</w:t>
      </w:r>
      <w:bookmarkEnd w:id="14"/>
    </w:p>
    <w:p w14:paraId="0A73C79D" w14:textId="77777777" w:rsidR="00A17E96" w:rsidRDefault="00000000">
      <w:pPr>
        <w:pStyle w:val="ListParagraph"/>
        <w:numPr>
          <w:ilvl w:val="0"/>
          <w:numId w:val="2"/>
        </w:numPr>
        <w:spacing w:after="80" w:line="300" w:lineRule="auto"/>
      </w:pPr>
      <w:r>
        <w:rPr>
          <w:color w:val="1A1A1A"/>
        </w:rPr>
        <w:t>Windows-only support limits applicability if Soudal's device fleet expands to include macOS or Linux endpoints.</w:t>
      </w:r>
    </w:p>
    <w:p w14:paraId="16BD9A92" w14:textId="77777777" w:rsidR="00A17E96" w:rsidRDefault="00000000">
      <w:pPr>
        <w:pStyle w:val="ListParagraph"/>
        <w:numPr>
          <w:ilvl w:val="0"/>
          <w:numId w:val="2"/>
        </w:numPr>
        <w:spacing w:after="80" w:line="300" w:lineRule="auto"/>
      </w:pPr>
      <w:r>
        <w:rPr>
          <w:color w:val="1A1A1A"/>
        </w:rPr>
        <w:t>Limited offline capability restricts use in factory and engineering scenarios where network connectivity is intermittent or unavailable.</w:t>
      </w:r>
    </w:p>
    <w:p w14:paraId="02DF7FED" w14:textId="77777777" w:rsidR="00A17E96" w:rsidRDefault="00000000">
      <w:pPr>
        <w:pStyle w:val="ListParagraph"/>
        <w:numPr>
          <w:ilvl w:val="0"/>
          <w:numId w:val="2"/>
        </w:numPr>
        <w:spacing w:after="80" w:line="300" w:lineRule="auto"/>
      </w:pPr>
      <w:r>
        <w:rPr>
          <w:color w:val="1A1A1A"/>
        </w:rPr>
        <w:t>The absence of a real-time approval workflow means all elevation decisions must be pre-configured through policy rules.</w:t>
      </w:r>
    </w:p>
    <w:p w14:paraId="533B5301" w14:textId="77777777" w:rsidR="00A17E96" w:rsidRDefault="00000000">
      <w:pPr>
        <w:pStyle w:val="ListParagraph"/>
        <w:numPr>
          <w:ilvl w:val="0"/>
          <w:numId w:val="2"/>
        </w:numPr>
        <w:spacing w:after="80" w:line="300" w:lineRule="auto"/>
      </w:pPr>
      <w:r>
        <w:rPr>
          <w:color w:val="1A1A1A"/>
        </w:rPr>
        <w:t>No built-in local administrator inventory or remote revocation feature, which complicates the permission revocation phase.</w:t>
      </w:r>
    </w:p>
    <w:p w14:paraId="25EC3824" w14:textId="77777777" w:rsidR="00A17E96" w:rsidRDefault="00000000">
      <w:pPr>
        <w:pStyle w:val="ListParagraph"/>
        <w:numPr>
          <w:ilvl w:val="0"/>
          <w:numId w:val="2"/>
        </w:numPr>
        <w:spacing w:after="80" w:line="300" w:lineRule="auto"/>
      </w:pPr>
      <w:r>
        <w:rPr>
          <w:color w:val="1A1A1A"/>
        </w:rPr>
        <w:t>EPM does not provide Service Desk-friendly session-based elevation; each tool or action requires a separate policy rule.</w:t>
      </w:r>
    </w:p>
    <w:p w14:paraId="72328156" w14:textId="77777777" w:rsidR="00A17E96" w:rsidRDefault="00000000">
      <w:r>
        <w:br w:type="page"/>
      </w:r>
    </w:p>
    <w:p w14:paraId="1698AC4B" w14:textId="77777777" w:rsidR="00A17E96" w:rsidRDefault="00000000">
      <w:pPr>
        <w:pStyle w:val="Heading1"/>
      </w:pPr>
      <w:bookmarkStart w:id="15" w:name="_Toc229554770"/>
      <w:r>
        <w:lastRenderedPageBreak/>
        <w:t>5. Recommendation</w:t>
      </w:r>
      <w:bookmarkEnd w:id="15"/>
    </w:p>
    <w:p w14:paraId="7A166A05" w14:textId="77777777" w:rsidR="00A17E96" w:rsidRDefault="00000000">
      <w:pPr>
        <w:spacing w:after="120" w:line="300" w:lineRule="auto"/>
      </w:pPr>
      <w:r>
        <w:rPr>
          <w:color w:val="1A1A1A"/>
        </w:rPr>
        <w:t>Based on the evaluation documented in this attachment and the laboratory testing results presented in Chapters 3 and 4 of the realization report, Admin By Request is recommended as the primary privilege elevation solution for Soudal NV. The recommendation is supported by three factors that directly reflect Soudal's operational requirements.</w:t>
      </w:r>
    </w:p>
    <w:p w14:paraId="48EE4B89" w14:textId="76030583" w:rsidR="00A17E96" w:rsidRDefault="00000000">
      <w:pPr>
        <w:pStyle w:val="Heading2"/>
      </w:pPr>
      <w:bookmarkStart w:id="16" w:name="_Toc229554771"/>
      <w:r>
        <w:t>5.1 Decisive Factor 1  Offline Capability</w:t>
      </w:r>
      <w:bookmarkEnd w:id="16"/>
    </w:p>
    <w:p w14:paraId="78D49B36" w14:textId="77777777" w:rsidR="00A17E96" w:rsidRDefault="00000000">
      <w:pPr>
        <w:spacing w:after="120" w:line="300" w:lineRule="auto"/>
      </w:pPr>
      <w:r>
        <w:rPr>
          <w:color w:val="1A1A1A"/>
        </w:rPr>
        <w:t>The engineering and factory floor use case requires privilege elevation without network connectivity. This requirement is not optional for Soudal. ABR's Offline PIN mechanism was tested and confirmed working in a fully disconnected state, with complete audit synchronization on reconnection. EPM's architecture requires network connectivity for policy evaluation in most scenarios, which means it cannot reliably serve factory and engineering users. This single factor disqualifies EPM as the sole solution for Soudal's environment.</w:t>
      </w:r>
    </w:p>
    <w:p w14:paraId="0F535BA9" w14:textId="6CF759D7" w:rsidR="00A17E96" w:rsidRDefault="00000000">
      <w:pPr>
        <w:pStyle w:val="Heading2"/>
      </w:pPr>
      <w:bookmarkStart w:id="17" w:name="_Toc229554772"/>
      <w:r>
        <w:t>5.2 Decisive Factor 2  Operational Flexibility</w:t>
      </w:r>
      <w:bookmarkEnd w:id="17"/>
    </w:p>
    <w:p w14:paraId="0BF00B62" w14:textId="77777777" w:rsidR="00A17E96" w:rsidRDefault="00000000">
      <w:pPr>
        <w:spacing w:after="120" w:line="300" w:lineRule="auto"/>
      </w:pPr>
      <w:r>
        <w:rPr>
          <w:color w:val="1A1A1A"/>
        </w:rPr>
        <w:t>Soudal's five use cases span a range of elevation needs: permanent-style elevation for Service Desk, offline PIN for engineering, temporary sessions for power users, app-specific elevation for standard users, and centralized audit for compliance. ABR covers all five from a single platform with a single agent. EPM's rule-based model is well suited to some of these scenarios but requires significantly more administrative overhead to cover the full range, and cannot address the offline requirement at all.</w:t>
      </w:r>
    </w:p>
    <w:p w14:paraId="12F16FCB" w14:textId="683E72A2" w:rsidR="00A17E96" w:rsidRDefault="00000000">
      <w:pPr>
        <w:pStyle w:val="Heading2"/>
      </w:pPr>
      <w:bookmarkStart w:id="18" w:name="_Toc229554773"/>
      <w:r>
        <w:t>5.3 Decisive Factor 3  Local Administrator Inventory</w:t>
      </w:r>
      <w:bookmarkEnd w:id="18"/>
    </w:p>
    <w:p w14:paraId="535A7345" w14:textId="77777777" w:rsidR="00A17E96" w:rsidRDefault="00000000">
      <w:pPr>
        <w:spacing w:after="120" w:line="300" w:lineRule="auto"/>
      </w:pPr>
      <w:r>
        <w:rPr>
          <w:color w:val="1A1A1A"/>
        </w:rPr>
        <w:t>The phased deployment plan for this project includes a permission revocation phase in which existing permanent local administrator rights are identified and removed across the device fleet. ABR provides a built-in local administrator inventory with remote revocation capability. EPM does not offer this as a standalone feature. Without ABR's inventory and revocation tooling, the permission revocation phase would require additional tools or manual processes, increasing operational risk and complexity.</w:t>
      </w:r>
    </w:p>
    <w:p w14:paraId="50050491" w14:textId="77777777" w:rsidR="00A17E96" w:rsidRDefault="00000000">
      <w:pPr>
        <w:pStyle w:val="Heading2"/>
      </w:pPr>
      <w:bookmarkStart w:id="19" w:name="_Toc229554774"/>
      <w:r>
        <w:t>5.4 Consideration for a Hybrid Approach</w:t>
      </w:r>
      <w:bookmarkEnd w:id="19"/>
    </w:p>
    <w:p w14:paraId="6B8D1B18" w14:textId="77777777" w:rsidR="00A17E96" w:rsidRDefault="00000000">
      <w:pPr>
        <w:spacing w:after="120" w:line="300" w:lineRule="auto"/>
      </w:pPr>
      <w:r>
        <w:rPr>
          <w:color w:val="1A1A1A"/>
        </w:rPr>
        <w:t>EPM remains a technically sound solution for a subset of Soudal's device population. For office-based, permanently connected Windows users who do not require offline elevation, EPM's native Intune integration provides genuine operational advantages: no second portal, no separate agent, no additional vendor relationship. A hybrid approach in which EPM is used for corporate office users and ABR is retained for engineering, factory, and mixed-connectivity scenarios may be worth evaluating in a future project cycle, once the initial ABR deployment is stable and the permission revocation phase is complete.</w:t>
      </w:r>
    </w:p>
    <w:p w14:paraId="1F55618E" w14:textId="77777777" w:rsidR="00A17E96" w:rsidRDefault="00000000">
      <w:r>
        <w:br w:type="page"/>
      </w:r>
    </w:p>
    <w:p w14:paraId="298C458D" w14:textId="77777777" w:rsidR="00A17E96" w:rsidRDefault="00000000">
      <w:pPr>
        <w:pStyle w:val="Heading1"/>
      </w:pPr>
      <w:bookmarkStart w:id="20" w:name="_Toc229554775"/>
      <w:r>
        <w:lastRenderedPageBreak/>
        <w:t>6. Next Steps</w:t>
      </w:r>
      <w:bookmarkEnd w:id="20"/>
    </w:p>
    <w:p w14:paraId="0554F836" w14:textId="77777777" w:rsidR="00A17E96" w:rsidRDefault="00000000">
      <w:pPr>
        <w:spacing w:after="120" w:line="300" w:lineRule="auto"/>
      </w:pPr>
      <w:r>
        <w:rPr>
          <w:color w:val="1A1A1A"/>
        </w:rPr>
        <w:t>The following actions are recommended based on the findings of this comparison:</w:t>
      </w:r>
    </w:p>
    <w:p w14:paraId="27C2D5C2" w14:textId="77777777" w:rsidR="00A17E96" w:rsidRDefault="00000000">
      <w:pPr>
        <w:pStyle w:val="ListParagraph"/>
        <w:numPr>
          <w:ilvl w:val="0"/>
          <w:numId w:val="2"/>
        </w:numPr>
        <w:spacing w:after="80" w:line="300" w:lineRule="auto"/>
      </w:pPr>
      <w:r>
        <w:rPr>
          <w:color w:val="1A1A1A"/>
        </w:rPr>
        <w:t>Proceed with the phased deployment of Admin By Request as the primary privilege elevation solution for all in-scope user groups at Soudal, following the deployment strategy documented in Chapter 6 of the realization report.</w:t>
      </w:r>
    </w:p>
    <w:p w14:paraId="788F3868" w14:textId="77777777" w:rsidR="00A17E96" w:rsidRDefault="00000000">
      <w:pPr>
        <w:pStyle w:val="ListParagraph"/>
        <w:numPr>
          <w:ilvl w:val="0"/>
          <w:numId w:val="2"/>
        </w:numPr>
        <w:spacing w:after="80" w:line="300" w:lineRule="auto"/>
      </w:pPr>
      <w:r>
        <w:rPr>
          <w:color w:val="1A1A1A"/>
        </w:rPr>
        <w:t>Use ABR's local administrator inventory to identify and document existing permanent local administrator accounts across the in-scope device population before removing any rights.</w:t>
      </w:r>
    </w:p>
    <w:p w14:paraId="2973F22E" w14:textId="77777777" w:rsidR="00A17E96" w:rsidRDefault="00000000">
      <w:pPr>
        <w:pStyle w:val="ListParagraph"/>
        <w:numPr>
          <w:ilvl w:val="0"/>
          <w:numId w:val="2"/>
        </w:numPr>
        <w:spacing w:after="80" w:line="300" w:lineRule="auto"/>
      </w:pPr>
      <w:r>
        <w:rPr>
          <w:color w:val="1A1A1A"/>
        </w:rPr>
        <w:t>Configure elevation policies tailored to each user group: Offline PIN for engineering, Admin Session for Service Desk, pre-approved rules for standard application installation, and approval workflows for ad-hoc elevation requests.</w:t>
      </w:r>
    </w:p>
    <w:p w14:paraId="601EA70D" w14:textId="77777777" w:rsidR="00A17E96" w:rsidRDefault="00000000">
      <w:pPr>
        <w:pStyle w:val="ListParagraph"/>
        <w:numPr>
          <w:ilvl w:val="0"/>
          <w:numId w:val="2"/>
        </w:numPr>
        <w:spacing w:after="80" w:line="300" w:lineRule="auto"/>
      </w:pPr>
      <w:r>
        <w:rPr>
          <w:color w:val="1A1A1A"/>
        </w:rPr>
        <w:t>Establish the audit logging and SIEM integration configuration during the pilot phase to validate compliance reporting before broader rollout.</w:t>
      </w:r>
    </w:p>
    <w:p w14:paraId="12FB7D7C" w14:textId="77777777" w:rsidR="00A17E96" w:rsidRDefault="00000000">
      <w:pPr>
        <w:pStyle w:val="ListParagraph"/>
        <w:numPr>
          <w:ilvl w:val="0"/>
          <w:numId w:val="2"/>
        </w:numPr>
        <w:spacing w:after="80" w:line="300" w:lineRule="auto"/>
      </w:pPr>
      <w:r>
        <w:rPr>
          <w:color w:val="1A1A1A"/>
        </w:rPr>
        <w:t>Monitor EPM's product roadmap for improvements to offline capability and approval workflows. Reassess the hybrid approach after the initial ABR deployment has been validated in production.</w:t>
      </w:r>
    </w:p>
    <w:p w14:paraId="5509B6C4" w14:textId="77777777" w:rsidR="00A17E96" w:rsidRDefault="00000000">
      <w:pPr>
        <w:pStyle w:val="ListParagraph"/>
        <w:numPr>
          <w:ilvl w:val="0"/>
          <w:numId w:val="2"/>
        </w:numPr>
        <w:spacing w:after="80" w:line="300" w:lineRule="auto"/>
      </w:pPr>
      <w:r>
        <w:rPr>
          <w:color w:val="1A1A1A"/>
        </w:rPr>
        <w:t>Present this comparison and recommendation to Soudal leadership and the work placement mentors for final sign-off before proceeding with pilot deployment.</w:t>
      </w:r>
    </w:p>
    <w:sectPr w:rsidR="00A17E96">
      <w:headerReference w:type="default" r:id="rId8"/>
      <w:footerReference w:type="default" r:id="rId9"/>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DA37A" w14:textId="77777777" w:rsidR="00C80F0D" w:rsidRDefault="00C80F0D">
      <w:r>
        <w:separator/>
      </w:r>
    </w:p>
  </w:endnote>
  <w:endnote w:type="continuationSeparator" w:id="0">
    <w:p w14:paraId="0200070F" w14:textId="77777777" w:rsidR="00C80F0D" w:rsidRDefault="00C80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C59E6" w14:textId="77777777" w:rsidR="00A17E96" w:rsidRDefault="00000000">
    <w:pPr>
      <w:jc w:val="center"/>
    </w:pPr>
    <w:r>
      <w:rPr>
        <w:color w:val="595959"/>
        <w:sz w:val="18"/>
        <w:szCs w:val="18"/>
      </w:rPr>
      <w:t xml:space="preserve">Page </w:t>
    </w:r>
    <w:r>
      <w:rPr>
        <w:color w:val="595959"/>
        <w:sz w:val="18"/>
        <w:szCs w:val="18"/>
      </w:rPr>
      <w:fldChar w:fldCharType="begin"/>
    </w:r>
    <w:r>
      <w:rPr>
        <w:color w:val="595959"/>
        <w:sz w:val="18"/>
        <w:szCs w:val="18"/>
      </w:rPr>
      <w:instrText>PAGE</w:instrText>
    </w:r>
    <w:r>
      <w:rPr>
        <w:color w:val="595959"/>
        <w:sz w:val="18"/>
        <w:szCs w:val="18"/>
      </w:rPr>
      <w:fldChar w:fldCharType="separate"/>
    </w:r>
    <w:r w:rsidR="00BD7639">
      <w:rPr>
        <w:noProof/>
        <w:color w:val="595959"/>
        <w:sz w:val="18"/>
        <w:szCs w:val="18"/>
      </w:rPr>
      <w:t>1</w:t>
    </w:r>
    <w:r>
      <w:rPr>
        <w:color w:val="595959"/>
        <w:sz w:val="18"/>
        <w:szCs w:val="18"/>
      </w:rPr>
      <w:fldChar w:fldCharType="end"/>
    </w:r>
    <w:r>
      <w:rPr>
        <w:color w:val="595959"/>
        <w:sz w:val="18"/>
        <w:szCs w:val="18"/>
      </w:rPr>
      <w:t xml:space="preserve"> of </w:t>
    </w:r>
    <w:r>
      <w:rPr>
        <w:color w:val="595959"/>
        <w:sz w:val="18"/>
        <w:szCs w:val="18"/>
      </w:rPr>
      <w:fldChar w:fldCharType="begin"/>
    </w:r>
    <w:r>
      <w:rPr>
        <w:color w:val="595959"/>
        <w:sz w:val="18"/>
        <w:szCs w:val="18"/>
      </w:rPr>
      <w:instrText>NUMPAGES</w:instrText>
    </w:r>
    <w:r>
      <w:rPr>
        <w:color w:val="595959"/>
        <w:sz w:val="18"/>
        <w:szCs w:val="18"/>
      </w:rPr>
      <w:fldChar w:fldCharType="separate"/>
    </w:r>
    <w:r w:rsidR="00BD7639">
      <w:rPr>
        <w:noProof/>
        <w:color w:val="595959"/>
        <w:sz w:val="18"/>
        <w:szCs w:val="18"/>
      </w:rPr>
      <w:t>1</w:t>
    </w:r>
    <w:r>
      <w:rPr>
        <w:color w:val="5959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5E8FB" w14:textId="77777777" w:rsidR="00C80F0D" w:rsidRDefault="00C80F0D">
      <w:r>
        <w:separator/>
      </w:r>
    </w:p>
  </w:footnote>
  <w:footnote w:type="continuationSeparator" w:id="0">
    <w:p w14:paraId="438A1CEC" w14:textId="77777777" w:rsidR="00C80F0D" w:rsidRDefault="00C80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E104F" w14:textId="77777777" w:rsidR="00A17E96" w:rsidRDefault="00000000">
    <w:pPr>
      <w:tabs>
        <w:tab w:val="right" w:pos="9026"/>
      </w:tabs>
    </w:pPr>
    <w:r>
      <w:rPr>
        <w:color w:val="595959"/>
        <w:sz w:val="18"/>
        <w:szCs w:val="18"/>
      </w:rPr>
      <w:t>Attachment C: ABR vs EPM Comparison</w:t>
    </w:r>
    <w:r>
      <w:rPr>
        <w:sz w:val="18"/>
        <w:szCs w:val="18"/>
      </w:rPr>
      <w:tab/>
    </w:r>
    <w:r>
      <w:rPr>
        <w:color w:val="595959"/>
        <w:sz w:val="18"/>
        <w:szCs w:val="18"/>
      </w:rPr>
      <w:t>Muhammad Zubair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990393"/>
    <w:multiLevelType w:val="hybridMultilevel"/>
    <w:tmpl w:val="B5EC8E62"/>
    <w:lvl w:ilvl="0" w:tplc="C6EA8A98">
      <w:start w:val="1"/>
      <w:numFmt w:val="bullet"/>
      <w:lvlText w:val="•"/>
      <w:lvlJc w:val="left"/>
      <w:pPr>
        <w:ind w:left="540" w:hanging="270"/>
      </w:pPr>
    </w:lvl>
    <w:lvl w:ilvl="1" w:tplc="94EA44C8">
      <w:numFmt w:val="decimal"/>
      <w:lvlText w:val=""/>
      <w:lvlJc w:val="left"/>
    </w:lvl>
    <w:lvl w:ilvl="2" w:tplc="00389C90">
      <w:numFmt w:val="decimal"/>
      <w:lvlText w:val=""/>
      <w:lvlJc w:val="left"/>
    </w:lvl>
    <w:lvl w:ilvl="3" w:tplc="DCF680D4">
      <w:numFmt w:val="decimal"/>
      <w:lvlText w:val=""/>
      <w:lvlJc w:val="left"/>
    </w:lvl>
    <w:lvl w:ilvl="4" w:tplc="A8B83EC4">
      <w:numFmt w:val="decimal"/>
      <w:lvlText w:val=""/>
      <w:lvlJc w:val="left"/>
    </w:lvl>
    <w:lvl w:ilvl="5" w:tplc="42401790">
      <w:numFmt w:val="decimal"/>
      <w:lvlText w:val=""/>
      <w:lvlJc w:val="left"/>
    </w:lvl>
    <w:lvl w:ilvl="6" w:tplc="499C38E6">
      <w:numFmt w:val="decimal"/>
      <w:lvlText w:val=""/>
      <w:lvlJc w:val="left"/>
    </w:lvl>
    <w:lvl w:ilvl="7" w:tplc="4C56E63A">
      <w:numFmt w:val="decimal"/>
      <w:lvlText w:val=""/>
      <w:lvlJc w:val="left"/>
    </w:lvl>
    <w:lvl w:ilvl="8" w:tplc="F6522CE6">
      <w:numFmt w:val="decimal"/>
      <w:lvlText w:val=""/>
      <w:lvlJc w:val="left"/>
    </w:lvl>
  </w:abstractNum>
  <w:abstractNum w:abstractNumId="1" w15:restartNumberingAfterBreak="0">
    <w:nsid w:val="52DA38E6"/>
    <w:multiLevelType w:val="hybridMultilevel"/>
    <w:tmpl w:val="8528CA18"/>
    <w:lvl w:ilvl="0" w:tplc="9E8280B0">
      <w:start w:val="1"/>
      <w:numFmt w:val="bullet"/>
      <w:lvlText w:val="●"/>
      <w:lvlJc w:val="left"/>
      <w:pPr>
        <w:ind w:left="720" w:hanging="360"/>
      </w:pPr>
    </w:lvl>
    <w:lvl w:ilvl="1" w:tplc="3DD0C996">
      <w:start w:val="1"/>
      <w:numFmt w:val="bullet"/>
      <w:lvlText w:val="○"/>
      <w:lvlJc w:val="left"/>
      <w:pPr>
        <w:ind w:left="1440" w:hanging="360"/>
      </w:pPr>
    </w:lvl>
    <w:lvl w:ilvl="2" w:tplc="0E38B66A">
      <w:start w:val="1"/>
      <w:numFmt w:val="bullet"/>
      <w:lvlText w:val="■"/>
      <w:lvlJc w:val="left"/>
      <w:pPr>
        <w:ind w:left="2160" w:hanging="360"/>
      </w:pPr>
    </w:lvl>
    <w:lvl w:ilvl="3" w:tplc="AC90C6D4">
      <w:start w:val="1"/>
      <w:numFmt w:val="bullet"/>
      <w:lvlText w:val="●"/>
      <w:lvlJc w:val="left"/>
      <w:pPr>
        <w:ind w:left="2880" w:hanging="360"/>
      </w:pPr>
    </w:lvl>
    <w:lvl w:ilvl="4" w:tplc="411897D4">
      <w:start w:val="1"/>
      <w:numFmt w:val="bullet"/>
      <w:lvlText w:val="○"/>
      <w:lvlJc w:val="left"/>
      <w:pPr>
        <w:ind w:left="3600" w:hanging="360"/>
      </w:pPr>
    </w:lvl>
    <w:lvl w:ilvl="5" w:tplc="448E55E2">
      <w:start w:val="1"/>
      <w:numFmt w:val="bullet"/>
      <w:lvlText w:val="■"/>
      <w:lvlJc w:val="left"/>
      <w:pPr>
        <w:ind w:left="4320" w:hanging="360"/>
      </w:pPr>
    </w:lvl>
    <w:lvl w:ilvl="6" w:tplc="4BCC4104">
      <w:start w:val="1"/>
      <w:numFmt w:val="bullet"/>
      <w:lvlText w:val="●"/>
      <w:lvlJc w:val="left"/>
      <w:pPr>
        <w:ind w:left="5040" w:hanging="360"/>
      </w:pPr>
    </w:lvl>
    <w:lvl w:ilvl="7" w:tplc="C344A90A">
      <w:start w:val="1"/>
      <w:numFmt w:val="bullet"/>
      <w:lvlText w:val="●"/>
      <w:lvlJc w:val="left"/>
      <w:pPr>
        <w:ind w:left="5760" w:hanging="360"/>
      </w:pPr>
    </w:lvl>
    <w:lvl w:ilvl="8" w:tplc="5E20848E">
      <w:start w:val="1"/>
      <w:numFmt w:val="bullet"/>
      <w:lvlText w:val="●"/>
      <w:lvlJc w:val="left"/>
      <w:pPr>
        <w:ind w:left="6480" w:hanging="360"/>
      </w:pPr>
    </w:lvl>
  </w:abstractNum>
  <w:num w:numId="1" w16cid:durableId="1232083790">
    <w:abstractNumId w:val="1"/>
    <w:lvlOverride w:ilvl="0">
      <w:startOverride w:val="1"/>
    </w:lvlOverride>
  </w:num>
  <w:num w:numId="2" w16cid:durableId="75297015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E96"/>
    <w:rsid w:val="00396983"/>
    <w:rsid w:val="003F4F61"/>
    <w:rsid w:val="004873A0"/>
    <w:rsid w:val="00767B4B"/>
    <w:rsid w:val="00A17E96"/>
    <w:rsid w:val="00BD7639"/>
    <w:rsid w:val="00C80F0D"/>
    <w:rsid w:val="00F549E9"/>
    <w:rsid w:val="00F77F3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00235"/>
  <w15:docId w15:val="{87D8A5B6-D20E-4A93-A1A4-69B56AFD6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80"/>
      <w:outlineLvl w:val="0"/>
    </w:pPr>
    <w:rPr>
      <w:b/>
      <w:bCs/>
      <w:color w:val="C8501A"/>
      <w:sz w:val="32"/>
      <w:szCs w:val="32"/>
    </w:rPr>
  </w:style>
  <w:style w:type="paragraph" w:styleId="Heading2">
    <w:name w:val="heading 2"/>
    <w:uiPriority w:val="9"/>
    <w:unhideWhenUsed/>
    <w:qFormat/>
    <w:pPr>
      <w:spacing w:before="240" w:after="120"/>
      <w:outlineLvl w:val="1"/>
    </w:pPr>
    <w:rPr>
      <w:b/>
      <w:bCs/>
      <w:color w:val="1A1A1A"/>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TOC1">
    <w:name w:val="toc 1"/>
    <w:basedOn w:val="Normal"/>
    <w:next w:val="Normal"/>
    <w:autoRedefine/>
    <w:uiPriority w:val="39"/>
    <w:unhideWhenUsed/>
    <w:rsid w:val="00BD7639"/>
    <w:pPr>
      <w:spacing w:after="100"/>
    </w:pPr>
  </w:style>
  <w:style w:type="paragraph" w:styleId="TOC2">
    <w:name w:val="toc 2"/>
    <w:basedOn w:val="Normal"/>
    <w:next w:val="Normal"/>
    <w:autoRedefine/>
    <w:uiPriority w:val="39"/>
    <w:unhideWhenUsed/>
    <w:rsid w:val="00BD763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0ecff7ee-3003-4729-b0fc-4be42179c451}" enabled="1" method="Privileged" siteId="{69da9631-8063-4a89-a993-ac23c32f39eb}" contentBits="0"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10</Pages>
  <Words>2371</Words>
  <Characters>13516</Characters>
  <Application>Microsoft Office Word</Application>
  <DocSecurity>0</DocSecurity>
  <Lines>112</Lines>
  <Paragraphs>31</Paragraphs>
  <ScaleCrop>false</ScaleCrop>
  <Company/>
  <LinksUpToDate>false</LinksUpToDate>
  <CharactersWithSpaces>15856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C — ABR vs EPM Comparison and Recommendation</dc:title>
  <dc:creator>Muhammad Zubair</dc:creator>
  <cp:lastModifiedBy>Muhammad Zubair</cp:lastModifiedBy>
  <cp:revision>5</cp:revision>
  <dcterms:created xsi:type="dcterms:W3CDTF">2026-05-13T06:44:00Z</dcterms:created>
  <dcterms:modified xsi:type="dcterms:W3CDTF">2026-05-13T07:08:00Z</dcterms:modified>
</cp:coreProperties>
</file>